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B23A1" w14:textId="77777777" w:rsidR="00A44FDB" w:rsidRPr="00A44FDB" w:rsidRDefault="00A44FDB" w:rsidP="00A44FDB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209 – </w:t>
      </w:r>
      <w:r w:rsidRPr="00A44FDB">
        <w:rPr>
          <w:rStyle w:val="A2"/>
          <w:rFonts w:ascii="Arial" w:hAnsi="Arial" w:cs="Arial"/>
        </w:rPr>
        <w:t xml:space="preserve">OPEN-GRADED SHOULDER MATERIAL </w:t>
      </w:r>
    </w:p>
    <w:p w14:paraId="48F2C02A" w14:textId="77777777" w:rsidR="00A44FDB" w:rsidRPr="00A44FDB" w:rsidRDefault="00A44FDB" w:rsidP="00A44FDB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209.01 – </w:t>
      </w:r>
      <w:r w:rsidRPr="00A44FD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23C2DB95" w14:textId="77777777" w:rsidR="00A44FDB" w:rsidRDefault="00A44FDB" w:rsidP="00A44FDB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A44FDB">
        <w:rPr>
          <w:rStyle w:val="A0"/>
          <w:rFonts w:ascii="Arial" w:hAnsi="Arial" w:cs="Arial"/>
          <w:color w:val="auto"/>
          <w:sz w:val="20"/>
          <w:szCs w:val="20"/>
        </w:rPr>
        <w:t>These specifications cover the requirements for open-graded material used on roadway shoulders where designated on the pla</w:t>
      </w:r>
      <w:r>
        <w:rPr>
          <w:rStyle w:val="A0"/>
          <w:rFonts w:ascii="Arial" w:hAnsi="Arial" w:cs="Arial"/>
          <w:color w:val="auto"/>
          <w:sz w:val="20"/>
          <w:szCs w:val="20"/>
        </w:rPr>
        <w:t>ns or other Contract documents.</w:t>
      </w:r>
    </w:p>
    <w:p w14:paraId="056EB22F" w14:textId="77777777" w:rsidR="00A44FDB" w:rsidRDefault="00A44FDB" w:rsidP="00A44FDB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209.02 – Detail Requirements</w:t>
      </w:r>
    </w:p>
    <w:p w14:paraId="02B65A65" w14:textId="77777777" w:rsidR="00A44FDB" w:rsidRDefault="00A44FDB" w:rsidP="00A44FDB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A44FDB">
        <w:rPr>
          <w:rStyle w:val="A0"/>
          <w:rFonts w:ascii="Arial" w:hAnsi="Arial" w:cs="Arial"/>
          <w:color w:val="auto"/>
          <w:sz w:val="20"/>
          <w:szCs w:val="20"/>
        </w:rPr>
        <w:t>Open-graded shoulder material shall be aggregate material No. 18 and shall consist of mixtures of natural or crushed gravel, crushed stone</w:t>
      </w:r>
      <w:r>
        <w:rPr>
          <w:rStyle w:val="A0"/>
          <w:rFonts w:ascii="Arial" w:hAnsi="Arial" w:cs="Arial"/>
          <w:color w:val="auto"/>
          <w:sz w:val="20"/>
          <w:szCs w:val="20"/>
        </w:rPr>
        <w:t>, or sand, without soil mortar.</w:t>
      </w:r>
    </w:p>
    <w:p w14:paraId="28B67357" w14:textId="77777777" w:rsidR="00A44FDB" w:rsidRDefault="00A44FDB" w:rsidP="00A44FDB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A44FD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Grading: </w:t>
      </w:r>
      <w:r w:rsidRPr="00A44FDB">
        <w:rPr>
          <w:rStyle w:val="A0"/>
          <w:rFonts w:ascii="Arial" w:hAnsi="Arial" w:cs="Arial"/>
          <w:color w:val="auto"/>
          <w:sz w:val="20"/>
          <w:szCs w:val="20"/>
        </w:rPr>
        <w:t xml:space="preserve">Grading shall conform to the following when tested to verify acceptance in accordance </w:t>
      </w:r>
      <w:r>
        <w:rPr>
          <w:rStyle w:val="A0"/>
          <w:rFonts w:ascii="Arial" w:hAnsi="Arial" w:cs="Arial"/>
          <w:color w:val="auto"/>
          <w:sz w:val="20"/>
          <w:szCs w:val="20"/>
        </w:rPr>
        <w:t>with VTM-25: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1482"/>
        <w:gridCol w:w="1477"/>
        <w:gridCol w:w="1479"/>
        <w:gridCol w:w="1481"/>
        <w:gridCol w:w="1481"/>
        <w:gridCol w:w="1482"/>
      </w:tblGrid>
      <w:tr w:rsidR="00A44FDB" w14:paraId="3E4B4F09" w14:textId="77777777" w:rsidTr="00A44FDB">
        <w:tc>
          <w:tcPr>
            <w:tcW w:w="9108" w:type="dxa"/>
            <w:gridSpan w:val="6"/>
            <w:vAlign w:val="bottom"/>
          </w:tcPr>
          <w:p w14:paraId="7A738F3F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% by Weight of Materials Passing Sieve</w:t>
            </w:r>
          </w:p>
        </w:tc>
      </w:tr>
      <w:tr w:rsidR="00A44FDB" w14:paraId="1399FD1B" w14:textId="77777777" w:rsidTr="00A44FDB">
        <w:tc>
          <w:tcPr>
            <w:tcW w:w="1518" w:type="dxa"/>
            <w:vAlign w:val="bottom"/>
          </w:tcPr>
          <w:p w14:paraId="6A23DC5E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2 in</w:t>
            </w:r>
          </w:p>
        </w:tc>
        <w:tc>
          <w:tcPr>
            <w:tcW w:w="1518" w:type="dxa"/>
            <w:vAlign w:val="bottom"/>
          </w:tcPr>
          <w:p w14:paraId="7CC9E2A7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1 in</w:t>
            </w:r>
          </w:p>
        </w:tc>
        <w:tc>
          <w:tcPr>
            <w:tcW w:w="1518" w:type="dxa"/>
            <w:vAlign w:val="bottom"/>
          </w:tcPr>
          <w:p w14:paraId="68091F12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3/8 in</w:t>
            </w:r>
          </w:p>
        </w:tc>
        <w:tc>
          <w:tcPr>
            <w:tcW w:w="1518" w:type="dxa"/>
            <w:vAlign w:val="bottom"/>
          </w:tcPr>
          <w:p w14:paraId="40F9DFDD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No. 10</w:t>
            </w:r>
          </w:p>
        </w:tc>
        <w:tc>
          <w:tcPr>
            <w:tcW w:w="1518" w:type="dxa"/>
            <w:vAlign w:val="bottom"/>
          </w:tcPr>
          <w:p w14:paraId="4D0DF175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No. 4</w:t>
            </w:r>
            <w:r w:rsidRPr="00A44FDB">
              <w:rPr>
                <w:rStyle w:val="A0"/>
                <w:rFonts w:ascii="Arial" w:hAnsi="Arial" w:cs="Arial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518" w:type="dxa"/>
            <w:vAlign w:val="bottom"/>
          </w:tcPr>
          <w:p w14:paraId="2AF4FCFB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b/>
                <w:color w:val="auto"/>
                <w:sz w:val="20"/>
                <w:szCs w:val="20"/>
              </w:rPr>
              <w:t>No. 200</w:t>
            </w:r>
          </w:p>
        </w:tc>
      </w:tr>
      <w:tr w:rsidR="00A44FDB" w14:paraId="4BAAF85C" w14:textId="77777777" w:rsidTr="00A44FDB">
        <w:tc>
          <w:tcPr>
            <w:tcW w:w="1518" w:type="dxa"/>
            <w:vAlign w:val="bottom"/>
          </w:tcPr>
          <w:p w14:paraId="158FB912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100</w:t>
            </w:r>
          </w:p>
        </w:tc>
        <w:tc>
          <w:tcPr>
            <w:tcW w:w="1518" w:type="dxa"/>
            <w:vAlign w:val="bottom"/>
          </w:tcPr>
          <w:p w14:paraId="45BBAD39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90 ± 10</w:t>
            </w:r>
          </w:p>
        </w:tc>
        <w:tc>
          <w:tcPr>
            <w:tcW w:w="1518" w:type="dxa"/>
            <w:vAlign w:val="bottom"/>
          </w:tcPr>
          <w:p w14:paraId="4BF13AB3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55 ± 15</w:t>
            </w:r>
          </w:p>
        </w:tc>
        <w:tc>
          <w:tcPr>
            <w:tcW w:w="1518" w:type="dxa"/>
            <w:vAlign w:val="bottom"/>
          </w:tcPr>
          <w:p w14:paraId="0065BA73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20 ± 10</w:t>
            </w:r>
          </w:p>
        </w:tc>
        <w:tc>
          <w:tcPr>
            <w:tcW w:w="1518" w:type="dxa"/>
            <w:vAlign w:val="bottom"/>
          </w:tcPr>
          <w:p w14:paraId="59AE83F3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 ± 5</w:t>
            </w:r>
          </w:p>
        </w:tc>
        <w:tc>
          <w:tcPr>
            <w:tcW w:w="1518" w:type="dxa"/>
            <w:vAlign w:val="bottom"/>
          </w:tcPr>
          <w:p w14:paraId="1708E7A2" w14:textId="77777777" w:rsidR="00A44FDB" w:rsidRDefault="00A44FDB" w:rsidP="00A44FDB">
            <w:pPr>
              <w:pStyle w:val="Default"/>
              <w:jc w:val="center"/>
            </w:pPr>
            <w:r w:rsidRPr="00A44FDB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3 ± 3</w:t>
            </w:r>
          </w:p>
        </w:tc>
      </w:tr>
    </w:tbl>
    <w:p w14:paraId="7906B856" w14:textId="77777777" w:rsidR="00A44FDB" w:rsidRPr="00A44FDB" w:rsidRDefault="00A44FDB" w:rsidP="00A44FDB">
      <w:pPr>
        <w:pStyle w:val="Pa5"/>
        <w:ind w:left="720"/>
        <w:jc w:val="both"/>
        <w:rPr>
          <w:rFonts w:ascii="Arial" w:hAnsi="Arial" w:cs="Arial"/>
          <w:sz w:val="20"/>
          <w:szCs w:val="20"/>
        </w:rPr>
      </w:pPr>
    </w:p>
    <w:p w14:paraId="11DAB00F" w14:textId="77777777" w:rsidR="00A44FDB" w:rsidRDefault="00A44FDB" w:rsidP="00A44FDB">
      <w:pPr>
        <w:pStyle w:val="Pa4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proofErr w:type="spellStart"/>
      <w:r w:rsidRPr="00A44FDB">
        <w:rPr>
          <w:rStyle w:val="A0"/>
          <w:rFonts w:ascii="Arial" w:hAnsi="Arial" w:cs="Arial"/>
          <w:b/>
          <w:bCs/>
          <w:color w:val="auto"/>
          <w:sz w:val="20"/>
          <w:szCs w:val="20"/>
        </w:rPr>
        <w:t>Atterberg</w:t>
      </w:r>
      <w:proofErr w:type="spellEnd"/>
      <w:r w:rsidRPr="00A44FD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Limits: </w:t>
      </w:r>
      <w:r w:rsidRPr="00A44FDB">
        <w:rPr>
          <w:rStyle w:val="A0"/>
          <w:rFonts w:ascii="Arial" w:hAnsi="Arial" w:cs="Arial"/>
          <w:color w:val="auto"/>
          <w:sz w:val="20"/>
          <w:szCs w:val="20"/>
        </w:rPr>
        <w:t xml:space="preserve">Material shall be </w:t>
      </w:r>
      <w:proofErr w:type="spellStart"/>
      <w:r w:rsidRPr="00A44FDB">
        <w:rPr>
          <w:rStyle w:val="A0"/>
          <w:rFonts w:ascii="Arial" w:hAnsi="Arial" w:cs="Arial"/>
          <w:color w:val="auto"/>
          <w:sz w:val="20"/>
          <w:szCs w:val="20"/>
        </w:rPr>
        <w:t>nonplastic</w:t>
      </w:r>
      <w:proofErr w:type="spellEnd"/>
      <w:r w:rsidRPr="00A44FDB">
        <w:rPr>
          <w:rStyle w:val="A0"/>
          <w:rFonts w:ascii="Arial" w:hAnsi="Arial" w:cs="Arial"/>
          <w:color w:val="auto"/>
          <w:sz w:val="20"/>
          <w:szCs w:val="20"/>
        </w:rPr>
        <w:t>, and the liquid limit shall be not more that 25 when tested to verify accep</w:t>
      </w:r>
      <w:r>
        <w:rPr>
          <w:rStyle w:val="A0"/>
          <w:rFonts w:ascii="Arial" w:hAnsi="Arial" w:cs="Arial"/>
          <w:color w:val="auto"/>
          <w:sz w:val="20"/>
          <w:szCs w:val="20"/>
        </w:rPr>
        <w:t>tance in accordance with VTM-7.</w:t>
      </w:r>
    </w:p>
    <w:p w14:paraId="0DA0E9D2" w14:textId="77777777" w:rsidR="00A44FDB" w:rsidRDefault="00A44FDB" w:rsidP="00A44FDB">
      <w:pPr>
        <w:pStyle w:val="Pa4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A44FD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Soundness: </w:t>
      </w:r>
      <w:r w:rsidRPr="00A44FDB">
        <w:rPr>
          <w:rStyle w:val="A0"/>
          <w:rFonts w:ascii="Arial" w:hAnsi="Arial" w:cs="Arial"/>
          <w:color w:val="auto"/>
          <w:sz w:val="20"/>
          <w:szCs w:val="20"/>
        </w:rPr>
        <w:t xml:space="preserve">Soundness shall conform to the requirements of Table II-7 for subbase material when tested to verify acceptance in accordance with AASHTO T103 or </w:t>
      </w:r>
      <w:r>
        <w:rPr>
          <w:rStyle w:val="A0"/>
          <w:rFonts w:ascii="Arial" w:hAnsi="Arial" w:cs="Arial"/>
          <w:color w:val="auto"/>
          <w:sz w:val="20"/>
          <w:szCs w:val="20"/>
        </w:rPr>
        <w:t>T104.</w:t>
      </w:r>
    </w:p>
    <w:p w14:paraId="7136E3DE" w14:textId="77777777" w:rsidR="00A44FDB" w:rsidRDefault="00A44FDB" w:rsidP="00A44FDB">
      <w:pPr>
        <w:pStyle w:val="Pa4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A44FD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Abrasion Loss: </w:t>
      </w:r>
      <w:r w:rsidRPr="00A44FDB">
        <w:rPr>
          <w:rStyle w:val="A0"/>
          <w:rFonts w:ascii="Arial" w:hAnsi="Arial" w:cs="Arial"/>
          <w:color w:val="auto"/>
          <w:sz w:val="20"/>
          <w:szCs w:val="20"/>
        </w:rPr>
        <w:t>Abrasion loss shall be not more than 45 percent when tested to verify acceptance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in accordance with AASHTO T96.</w:t>
      </w:r>
    </w:p>
    <w:p w14:paraId="61D0BFE5" w14:textId="77777777" w:rsidR="00A44FDB" w:rsidRDefault="00A44FDB" w:rsidP="00A44FDB">
      <w:pPr>
        <w:pStyle w:val="Pa4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209.03 – Mixing</w:t>
      </w:r>
    </w:p>
    <w:p w14:paraId="205EA4F6" w14:textId="77777777" w:rsidR="002C3456" w:rsidRPr="00A44FDB" w:rsidRDefault="00A44FDB" w:rsidP="00A44FDB">
      <w:pPr>
        <w:pStyle w:val="Pa4"/>
        <w:spacing w:after="240"/>
        <w:jc w:val="both"/>
        <w:rPr>
          <w:rFonts w:ascii="Arial" w:hAnsi="Arial" w:cs="Arial"/>
          <w:sz w:val="20"/>
          <w:szCs w:val="20"/>
        </w:rPr>
      </w:pPr>
      <w:proofErr w:type="spellStart"/>
      <w:r w:rsidRPr="00A44FDB">
        <w:rPr>
          <w:rStyle w:val="A0"/>
          <w:rFonts w:ascii="Arial" w:hAnsi="Arial" w:cs="Arial"/>
          <w:color w:val="auto"/>
          <w:sz w:val="20"/>
          <w:szCs w:val="20"/>
        </w:rPr>
        <w:t>Pugmill</w:t>
      </w:r>
      <w:proofErr w:type="spellEnd"/>
      <w:r w:rsidRPr="00A44FDB">
        <w:rPr>
          <w:rStyle w:val="A0"/>
          <w:rFonts w:ascii="Arial" w:hAnsi="Arial" w:cs="Arial"/>
          <w:color w:val="auto"/>
          <w:sz w:val="20"/>
          <w:szCs w:val="20"/>
        </w:rPr>
        <w:t xml:space="preserve"> mixing will not be required for aggregate shoulder material No. 18. The Contractor shall provide a laboratory for Department use as specified in Section 106.07.</w:t>
      </w:r>
    </w:p>
    <w:sectPr w:rsidR="002C3456" w:rsidRPr="00A44F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FB25F91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0D2A05"/>
    <w:rsid w:val="002C3456"/>
    <w:rsid w:val="00743FC4"/>
    <w:rsid w:val="007F62B5"/>
    <w:rsid w:val="00A44FDB"/>
    <w:rsid w:val="00BC064E"/>
    <w:rsid w:val="00D23284"/>
    <w:rsid w:val="00DF6B18"/>
    <w:rsid w:val="00F9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08BB2"/>
  <w15:docId w15:val="{2EBA69C4-D098-4729-8849-CACCF079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A44FDB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A44FDB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A44FDB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A44FD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A44FDB"/>
    <w:rPr>
      <w:rFonts w:cs="TimesNewRomanPS"/>
      <w:color w:val="000000"/>
      <w:sz w:val="18"/>
      <w:szCs w:val="18"/>
    </w:rPr>
  </w:style>
  <w:style w:type="paragraph" w:customStyle="1" w:styleId="Pa2">
    <w:name w:val="Pa2"/>
    <w:basedOn w:val="Default"/>
    <w:next w:val="Default"/>
    <w:uiPriority w:val="99"/>
    <w:rsid w:val="00A44FDB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A44FDB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A44FDB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A44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BK209-002020-00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209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B8BBC1E2-EBD3-40FF-8F31-21DA38F16464}"/>
</file>

<file path=customXml/itemProps2.xml><?xml version="1.0" encoding="utf-8"?>
<ds:datastoreItem xmlns:ds="http://schemas.openxmlformats.org/officeDocument/2006/customXml" ds:itemID="{97DFFA9D-EF1E-41B6-A3D6-7041AEF9DD96}"/>
</file>

<file path=customXml/itemProps3.xml><?xml version="1.0" encoding="utf-8"?>
<ds:datastoreItem xmlns:ds="http://schemas.openxmlformats.org/officeDocument/2006/customXml" ds:itemID="{51A8B925-E44D-4174-8CF6-08059CA8B0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Open-Graded Shoulder Material</vt:lpstr>
    </vt:vector>
  </TitlesOfParts>
  <Company>Virginia IT Infrastructure Partnership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Open-Graded Shoulder Material</dc:title>
  <dc:creator>douglas.mcavoy</dc:creator>
  <cp:lastModifiedBy>Changes</cp:lastModifiedBy>
  <cp:revision>2</cp:revision>
  <dcterms:created xsi:type="dcterms:W3CDTF">2019-12-30T13:48:00Z</dcterms:created>
  <dcterms:modified xsi:type="dcterms:W3CDTF">2019-12-30T13:48:00Z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2000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7e8e20d7-658c-4909-80b2-4d8840c1adef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/insidevdot/div/sc/Design/Specs/Book|7e8e20d7-658c-4909-80b2-4d8840c1adef</vt:lpwstr>
  </property>
  <property fmtid="{D5CDD505-2E9C-101B-9397-08002B2CF9AE}" pid="12" name="_dlc_DocIdUrl">
    <vt:lpwstr>https://insidevdot.cov.virginia.gov/div/sc/Design/Specs/Book/_layouts/DocIdRedir.aspx?ID=%2finsidevdot%2fdiv%2fsc%2fDesign%2fSpecs%2fBook%7c7e8e20d7-658c-4909-80b2-4d8840c1adef, /insidevdot/div/sc/Design/Specs/Book|7e8e20d7-658c-4909-80b2-4d8840c1adef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BK209-002016-00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209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