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59665" w14:textId="77777777" w:rsidR="00E36880" w:rsidRPr="00E36880" w:rsidRDefault="00E36880" w:rsidP="00E36880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219 – </w:t>
      </w:r>
      <w:r w:rsidRPr="00E36880">
        <w:rPr>
          <w:rStyle w:val="A2"/>
          <w:rFonts w:ascii="Arial" w:hAnsi="Arial" w:cs="Arial"/>
        </w:rPr>
        <w:t xml:space="preserve">RIGHT-OF-WAY MONUMENTS </w:t>
      </w:r>
    </w:p>
    <w:p w14:paraId="6EC77BE0" w14:textId="77777777" w:rsidR="00E36880" w:rsidRPr="00E36880" w:rsidRDefault="00E36880" w:rsidP="00E36880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219.01 – </w:t>
      </w:r>
      <w:r w:rsidRPr="00E36880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75E842BF" w14:textId="77777777" w:rsidR="00E36880" w:rsidRDefault="00E36880" w:rsidP="00E36880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>These specifications cover concrete and metal markers used to des</w:t>
      </w:r>
      <w:r>
        <w:rPr>
          <w:rStyle w:val="A0"/>
          <w:rFonts w:ascii="Arial" w:hAnsi="Arial" w:cs="Arial"/>
          <w:color w:val="auto"/>
          <w:sz w:val="20"/>
          <w:szCs w:val="20"/>
        </w:rPr>
        <w:t>ignate right-of-way boundaries.</w:t>
      </w:r>
    </w:p>
    <w:p w14:paraId="6A559BAF" w14:textId="77777777" w:rsidR="00E36880" w:rsidRDefault="00E36880" w:rsidP="00E36880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219.02 – Detail Requirements</w:t>
      </w:r>
    </w:p>
    <w:p w14:paraId="714283FA" w14:textId="0436BE71" w:rsidR="00E36880" w:rsidRDefault="00E36880" w:rsidP="00E36880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>Right-of-way monuments shall be manufactured from reinforced concrete or metal conform</w:t>
      </w:r>
      <w:bookmarkStart w:id="0" w:name="_GoBack"/>
      <w:bookmarkEnd w:id="0"/>
      <w:r w:rsidRPr="00E36880">
        <w:rPr>
          <w:rStyle w:val="A0"/>
          <w:rFonts w:ascii="Arial" w:hAnsi="Arial" w:cs="Arial"/>
          <w:color w:val="auto"/>
          <w:sz w:val="20"/>
          <w:szCs w:val="20"/>
        </w:rPr>
        <w:t>ing to the dimensions and details shown in the Standard Drawings, and in accord</w:t>
      </w:r>
      <w:r>
        <w:rPr>
          <w:rStyle w:val="A0"/>
          <w:rFonts w:ascii="Arial" w:hAnsi="Arial" w:cs="Arial"/>
          <w:color w:val="auto"/>
          <w:sz w:val="20"/>
          <w:szCs w:val="20"/>
        </w:rPr>
        <w:t>ance with these specifications.</w:t>
      </w:r>
    </w:p>
    <w:p w14:paraId="1FCE143E" w14:textId="77777777" w:rsidR="00E36880" w:rsidRDefault="00E36880" w:rsidP="00E36880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Concrete Monuments: </w:t>
      </w:r>
      <w:r w:rsidRPr="00E36880">
        <w:rPr>
          <w:rStyle w:val="A0"/>
          <w:rFonts w:ascii="Arial" w:hAnsi="Arial" w:cs="Arial"/>
          <w:color w:val="auto"/>
          <w:sz w:val="20"/>
          <w:szCs w:val="20"/>
        </w:rPr>
        <w:t xml:space="preserve">Concrete shall be Class A3 conforming to Section 217, except that the Department will allow the use of Type I cement and </w:t>
      </w:r>
      <w:r>
        <w:rPr>
          <w:rStyle w:val="A0"/>
          <w:rFonts w:ascii="Arial" w:hAnsi="Arial" w:cs="Arial"/>
          <w:color w:val="auto"/>
          <w:sz w:val="20"/>
          <w:szCs w:val="20"/>
        </w:rPr>
        <w:t>a change in the aggregate size.</w:t>
      </w:r>
    </w:p>
    <w:p w14:paraId="3FEB631E" w14:textId="77777777" w:rsidR="00E36880" w:rsidRDefault="00E36880" w:rsidP="00E36880">
      <w:pPr>
        <w:pStyle w:val="Pa1"/>
        <w:spacing w:after="240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 xml:space="preserve">Steel reinforcement shall conform to Section 223 and shall be placed as </w:t>
      </w:r>
      <w:r>
        <w:rPr>
          <w:rStyle w:val="A0"/>
          <w:rFonts w:ascii="Arial" w:hAnsi="Arial" w:cs="Arial"/>
          <w:color w:val="auto"/>
          <w:sz w:val="20"/>
          <w:szCs w:val="20"/>
        </w:rPr>
        <w:t>shown on the Standard drawings.</w:t>
      </w:r>
    </w:p>
    <w:p w14:paraId="44465283" w14:textId="77777777" w:rsidR="00E36880" w:rsidRDefault="00E36880" w:rsidP="00E36880">
      <w:pPr>
        <w:pStyle w:val="Pa1"/>
        <w:spacing w:after="240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>Monuments shall be cast in one piece wi</w:t>
      </w:r>
      <w:r>
        <w:rPr>
          <w:rStyle w:val="A0"/>
          <w:rFonts w:ascii="Arial" w:hAnsi="Arial" w:cs="Arial"/>
          <w:color w:val="auto"/>
          <w:sz w:val="20"/>
          <w:szCs w:val="20"/>
        </w:rPr>
        <w:t>th smooth and uniform surfaces.</w:t>
      </w:r>
    </w:p>
    <w:p w14:paraId="58D8328C" w14:textId="77777777" w:rsidR="00E36880" w:rsidRDefault="00E36880" w:rsidP="00E36880">
      <w:pPr>
        <w:pStyle w:val="Pa1"/>
        <w:spacing w:after="240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 xml:space="preserve">Monuments shall withstand a cracking load of at least 4,000 pounds and a destruction load of 5,000 pounds when tested transversely on a 24-inch span and shall have an absorption value of not more than 10 percent. Tests will be performed </w:t>
      </w:r>
      <w:r>
        <w:rPr>
          <w:rStyle w:val="A0"/>
          <w:rFonts w:ascii="Arial" w:hAnsi="Arial" w:cs="Arial"/>
          <w:color w:val="auto"/>
          <w:sz w:val="20"/>
          <w:szCs w:val="20"/>
        </w:rPr>
        <w:t>in accordance with AASHTO T177.</w:t>
      </w:r>
    </w:p>
    <w:p w14:paraId="7917FF38" w14:textId="77777777" w:rsidR="00E36880" w:rsidRDefault="00E36880" w:rsidP="00E36880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Metal Monuments: </w:t>
      </w:r>
      <w:r w:rsidRPr="00E36880">
        <w:rPr>
          <w:rStyle w:val="A0"/>
          <w:rFonts w:ascii="Arial" w:hAnsi="Arial" w:cs="Arial"/>
          <w:color w:val="auto"/>
          <w:sz w:val="20"/>
          <w:szCs w:val="20"/>
        </w:rPr>
        <w:t>Material for steel pin</w:t>
      </w:r>
      <w:r>
        <w:rPr>
          <w:rStyle w:val="A0"/>
          <w:rFonts w:ascii="Arial" w:hAnsi="Arial" w:cs="Arial"/>
          <w:color w:val="auto"/>
          <w:sz w:val="20"/>
          <w:szCs w:val="20"/>
        </w:rPr>
        <w:t>s shall conform to Section 223.</w:t>
      </w:r>
    </w:p>
    <w:p w14:paraId="28A709CC" w14:textId="77777777" w:rsidR="00E36880" w:rsidRDefault="00E36880" w:rsidP="00E36880">
      <w:pPr>
        <w:pStyle w:val="Pa1"/>
        <w:spacing w:after="240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>Material for locator posts shall conform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to Section 226 or Section 229.</w:t>
      </w:r>
    </w:p>
    <w:p w14:paraId="2B2F93BA" w14:textId="77777777" w:rsidR="002C3456" w:rsidRPr="00E36880" w:rsidRDefault="00E36880" w:rsidP="00E36880">
      <w:pPr>
        <w:pStyle w:val="Pa1"/>
        <w:spacing w:after="240"/>
        <w:ind w:left="360"/>
        <w:jc w:val="both"/>
        <w:rPr>
          <w:rFonts w:ascii="Arial" w:hAnsi="Arial" w:cs="Arial"/>
          <w:sz w:val="20"/>
          <w:szCs w:val="20"/>
        </w:rPr>
      </w:pPr>
      <w:r w:rsidRPr="00E36880">
        <w:rPr>
          <w:rStyle w:val="A0"/>
          <w:rFonts w:ascii="Arial" w:hAnsi="Arial" w:cs="Arial"/>
          <w:color w:val="auto"/>
          <w:sz w:val="20"/>
          <w:szCs w:val="20"/>
        </w:rPr>
        <w:t>Steel posts or pins shall be galvanized in accordance with ASTM A123.</w:t>
      </w:r>
    </w:p>
    <w:sectPr w:rsidR="002C3456" w:rsidRPr="00E368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1493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194B58"/>
    <w:rsid w:val="002C3456"/>
    <w:rsid w:val="00441F3D"/>
    <w:rsid w:val="00743FC4"/>
    <w:rsid w:val="007F62B5"/>
    <w:rsid w:val="00845405"/>
    <w:rsid w:val="00BC064E"/>
    <w:rsid w:val="00C650BA"/>
    <w:rsid w:val="00E3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1914F"/>
  <w15:docId w15:val="{24249092-AEAD-4D22-AB60-76381F86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E36880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E36880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E36880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E36880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E36880"/>
    <w:rPr>
      <w:rFonts w:cs="TimesNewRomanPS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E36880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BK219-002020-00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219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9209F4C4-CADF-4B48-9DE5-63C81C4A5469}"/>
</file>

<file path=customXml/itemProps2.xml><?xml version="1.0" encoding="utf-8"?>
<ds:datastoreItem xmlns:ds="http://schemas.openxmlformats.org/officeDocument/2006/customXml" ds:itemID="{02307652-1662-4A97-A3B5-F3F6E05FC18C}"/>
</file>

<file path=customXml/itemProps3.xml><?xml version="1.0" encoding="utf-8"?>
<ds:datastoreItem xmlns:ds="http://schemas.openxmlformats.org/officeDocument/2006/customXml" ds:itemID="{3BD36364-FABD-4059-A13B-169FCBB372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Right-of-Way Monuments</vt:lpstr>
    </vt:vector>
  </TitlesOfParts>
  <Company>Virginia IT Infrastructure Partnership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Right-of-Way Monuments</dc:title>
  <dc:creator>douglas.mcavoy</dc:creator>
  <cp:lastModifiedBy>Changes</cp:lastModifiedBy>
  <cp:revision>2</cp:revision>
  <dcterms:created xsi:type="dcterms:W3CDTF">2019-12-30T15:23:00Z</dcterms:created>
  <dcterms:modified xsi:type="dcterms:W3CDTF">2019-12-30T15:23:00Z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3000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4a5dc6fa-b1f1-4f54-8ed3-8667020a2183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/insidevdot/div/sc/Design/Specs/Book|4a5dc6fa-b1f1-4f54-8ed3-8667020a2183</vt:lpwstr>
  </property>
  <property fmtid="{D5CDD505-2E9C-101B-9397-08002B2CF9AE}" pid="12" name="_dlc_DocIdUrl">
    <vt:lpwstr>https://insidevdot.cov.virginia.gov/div/sc/Design/Specs/Book/_layouts/DocIdRedir.aspx?ID=%2finsidevdot%2fdiv%2fsc%2fDesign%2fSpecs%2fBook%7c4a5dc6fa-b1f1-4f54-8ed3-8667020a2183, /insidevdot/div/sc/Design/Specs/Book|4a5dc6fa-b1f1-4f54-8ed3-8667020a2183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BK219-002016-00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219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