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A605E0" w14:textId="77777777" w:rsidR="00110F02" w:rsidRPr="00110F02" w:rsidRDefault="00110F02" w:rsidP="00110F02">
      <w:pPr>
        <w:pStyle w:val="Pa0"/>
        <w:spacing w:after="240"/>
        <w:jc w:val="center"/>
        <w:outlineLvl w:val="0"/>
        <w:rPr>
          <w:rFonts w:ascii="Arial" w:hAnsi="Arial" w:cs="Arial"/>
          <w:sz w:val="20"/>
          <w:szCs w:val="20"/>
        </w:rPr>
      </w:pPr>
      <w:r>
        <w:rPr>
          <w:rStyle w:val="A2"/>
          <w:rFonts w:ascii="Arial" w:hAnsi="Arial" w:cs="Arial"/>
        </w:rPr>
        <w:t xml:space="preserve">SECTION 220 – </w:t>
      </w:r>
      <w:r w:rsidRPr="00110F02">
        <w:rPr>
          <w:rStyle w:val="A2"/>
          <w:rFonts w:ascii="Arial" w:hAnsi="Arial" w:cs="Arial"/>
        </w:rPr>
        <w:t xml:space="preserve">CONCRETE CURING MATERIALS </w:t>
      </w:r>
    </w:p>
    <w:p w14:paraId="243C2B0F" w14:textId="77777777" w:rsidR="00110F02" w:rsidRPr="00110F02" w:rsidRDefault="00110F02" w:rsidP="00110F02">
      <w:pPr>
        <w:pStyle w:val="Pa1"/>
        <w:spacing w:after="240"/>
        <w:jc w:val="both"/>
        <w:outlineLvl w:val="1"/>
        <w:rPr>
          <w:rFonts w:ascii="Arial" w:hAnsi="Arial" w:cs="Arial"/>
          <w:sz w:val="20"/>
          <w:szCs w:val="20"/>
        </w:rPr>
      </w:pPr>
      <w:r>
        <w:rPr>
          <w:rStyle w:val="A0"/>
          <w:rFonts w:ascii="Arial" w:hAnsi="Arial" w:cs="Arial"/>
          <w:b/>
          <w:bCs/>
          <w:color w:val="auto"/>
          <w:sz w:val="20"/>
          <w:szCs w:val="20"/>
        </w:rPr>
        <w:t xml:space="preserve">220.01 – </w:t>
      </w:r>
      <w:r w:rsidRPr="00110F02">
        <w:rPr>
          <w:rStyle w:val="A0"/>
          <w:rFonts w:ascii="Arial" w:hAnsi="Arial" w:cs="Arial"/>
          <w:b/>
          <w:bCs/>
          <w:color w:val="auto"/>
          <w:sz w:val="20"/>
          <w:szCs w:val="20"/>
        </w:rPr>
        <w:t xml:space="preserve">Description </w:t>
      </w:r>
    </w:p>
    <w:p w14:paraId="334CB046" w14:textId="77777777" w:rsidR="00110F02" w:rsidRDefault="00110F02" w:rsidP="00110F02">
      <w:pPr>
        <w:pStyle w:val="Pa1"/>
        <w:spacing w:after="240"/>
        <w:jc w:val="both"/>
        <w:rPr>
          <w:rStyle w:val="A0"/>
          <w:rFonts w:ascii="Arial" w:hAnsi="Arial" w:cs="Arial"/>
          <w:color w:val="auto"/>
          <w:sz w:val="20"/>
          <w:szCs w:val="20"/>
        </w:rPr>
      </w:pPr>
      <w:r w:rsidRPr="00110F02">
        <w:rPr>
          <w:rStyle w:val="A0"/>
          <w:rFonts w:ascii="Arial" w:hAnsi="Arial" w:cs="Arial"/>
          <w:color w:val="auto"/>
          <w:sz w:val="20"/>
          <w:szCs w:val="20"/>
        </w:rPr>
        <w:t>These specifications cover materials used to maintain the humidity and temperature of freshly placed concrete to ensure satisfactory hydration and pr</w:t>
      </w:r>
      <w:r>
        <w:rPr>
          <w:rStyle w:val="A0"/>
          <w:rFonts w:ascii="Arial" w:hAnsi="Arial" w:cs="Arial"/>
          <w:color w:val="auto"/>
          <w:sz w:val="20"/>
          <w:szCs w:val="20"/>
        </w:rPr>
        <w:t>oper hardening of the concrete.</w:t>
      </w:r>
    </w:p>
    <w:p w14:paraId="20132E65" w14:textId="77777777" w:rsidR="00110F02" w:rsidRDefault="00110F02" w:rsidP="00110F02">
      <w:pPr>
        <w:pStyle w:val="Pa1"/>
        <w:spacing w:after="240"/>
        <w:jc w:val="both"/>
        <w:outlineLvl w:val="1"/>
        <w:rPr>
          <w:rStyle w:val="A0"/>
          <w:rFonts w:ascii="Arial" w:hAnsi="Arial" w:cs="Arial"/>
          <w:b/>
          <w:bCs/>
          <w:color w:val="auto"/>
          <w:sz w:val="20"/>
          <w:szCs w:val="20"/>
        </w:rPr>
      </w:pPr>
      <w:r>
        <w:rPr>
          <w:rStyle w:val="A0"/>
          <w:rFonts w:ascii="Arial" w:hAnsi="Arial" w:cs="Arial"/>
          <w:b/>
          <w:bCs/>
          <w:color w:val="auto"/>
          <w:sz w:val="20"/>
          <w:szCs w:val="20"/>
        </w:rPr>
        <w:t>220.02 – Detail Requirements</w:t>
      </w:r>
    </w:p>
    <w:p w14:paraId="1AE79EAD" w14:textId="77777777" w:rsidR="00110F02" w:rsidRDefault="00110F02" w:rsidP="00110F02">
      <w:pPr>
        <w:pStyle w:val="Pa1"/>
        <w:spacing w:after="240"/>
        <w:jc w:val="both"/>
        <w:rPr>
          <w:rStyle w:val="A0"/>
          <w:rFonts w:ascii="Arial" w:hAnsi="Arial" w:cs="Arial"/>
          <w:color w:val="auto"/>
          <w:sz w:val="20"/>
          <w:szCs w:val="20"/>
        </w:rPr>
      </w:pPr>
      <w:r w:rsidRPr="00110F02">
        <w:rPr>
          <w:rStyle w:val="A0"/>
          <w:rFonts w:ascii="Arial" w:hAnsi="Arial" w:cs="Arial"/>
          <w:color w:val="auto"/>
          <w:sz w:val="20"/>
          <w:szCs w:val="20"/>
        </w:rPr>
        <w:t>Concrete curing materials shall consist of waterproof paper, polyethylene (PE) film, a combination of burlap and PE film, liquid membrane-forming compound, or water. Concrete curing materials shall be free from impurities that may be detrimental to the surface of concrete or</w:t>
      </w:r>
      <w:r>
        <w:rPr>
          <w:rStyle w:val="A0"/>
          <w:rFonts w:ascii="Arial" w:hAnsi="Arial" w:cs="Arial"/>
          <w:color w:val="auto"/>
          <w:sz w:val="20"/>
          <w:szCs w:val="20"/>
        </w:rPr>
        <w:t xml:space="preserve"> the proper curing of concrete.</w:t>
      </w:r>
    </w:p>
    <w:p w14:paraId="42BF1F59" w14:textId="77777777" w:rsidR="00110F02" w:rsidRDefault="00110F02" w:rsidP="00110F02">
      <w:pPr>
        <w:pStyle w:val="Pa1"/>
        <w:numPr>
          <w:ilvl w:val="0"/>
          <w:numId w:val="3"/>
        </w:numPr>
        <w:spacing w:after="240"/>
        <w:jc w:val="both"/>
        <w:rPr>
          <w:rStyle w:val="A0"/>
          <w:rFonts w:ascii="Arial" w:hAnsi="Arial" w:cs="Arial"/>
          <w:color w:val="auto"/>
          <w:sz w:val="20"/>
          <w:szCs w:val="20"/>
        </w:rPr>
      </w:pPr>
      <w:r w:rsidRPr="00110F02">
        <w:rPr>
          <w:rStyle w:val="A0"/>
          <w:rFonts w:ascii="Arial" w:hAnsi="Arial" w:cs="Arial"/>
          <w:b/>
          <w:bCs/>
          <w:color w:val="auto"/>
          <w:sz w:val="20"/>
          <w:szCs w:val="20"/>
        </w:rPr>
        <w:t xml:space="preserve">Waterproof paper </w:t>
      </w:r>
      <w:r w:rsidRPr="00110F02">
        <w:rPr>
          <w:rStyle w:val="A0"/>
          <w:rFonts w:ascii="Arial" w:hAnsi="Arial" w:cs="Arial"/>
          <w:color w:val="auto"/>
          <w:sz w:val="20"/>
          <w:szCs w:val="20"/>
        </w:rPr>
        <w:t xml:space="preserve">shall conform to AASHTO M171. One side shall be composed of white, </w:t>
      </w:r>
      <w:r>
        <w:rPr>
          <w:rStyle w:val="A0"/>
          <w:rFonts w:ascii="Arial" w:hAnsi="Arial" w:cs="Arial"/>
          <w:color w:val="auto"/>
          <w:sz w:val="20"/>
          <w:szCs w:val="20"/>
        </w:rPr>
        <w:t>light-reflecting paper.</w:t>
      </w:r>
    </w:p>
    <w:p w14:paraId="392284A1" w14:textId="77777777" w:rsidR="00110F02" w:rsidRDefault="00110F02" w:rsidP="00110F02">
      <w:pPr>
        <w:pStyle w:val="Pa1"/>
        <w:numPr>
          <w:ilvl w:val="0"/>
          <w:numId w:val="3"/>
        </w:numPr>
        <w:spacing w:after="240"/>
        <w:jc w:val="both"/>
        <w:rPr>
          <w:rStyle w:val="A0"/>
          <w:rFonts w:ascii="Arial" w:hAnsi="Arial" w:cs="Arial"/>
          <w:color w:val="auto"/>
          <w:sz w:val="20"/>
          <w:szCs w:val="20"/>
        </w:rPr>
      </w:pPr>
      <w:r w:rsidRPr="00110F02">
        <w:rPr>
          <w:rStyle w:val="A0"/>
          <w:rFonts w:ascii="Arial" w:hAnsi="Arial" w:cs="Arial"/>
          <w:b/>
          <w:bCs/>
          <w:color w:val="auto"/>
          <w:sz w:val="20"/>
          <w:szCs w:val="20"/>
        </w:rPr>
        <w:t xml:space="preserve">PE film </w:t>
      </w:r>
      <w:r w:rsidRPr="00110F02">
        <w:rPr>
          <w:rStyle w:val="A0"/>
          <w:rFonts w:ascii="Arial" w:hAnsi="Arial" w:cs="Arial"/>
          <w:color w:val="auto"/>
          <w:sz w:val="20"/>
          <w:szCs w:val="20"/>
        </w:rPr>
        <w:t>shall conform to AASHTO M171 except that its nominal thickness shall be 3.0 mils. The thickness at any po</w:t>
      </w:r>
      <w:r>
        <w:rPr>
          <w:rStyle w:val="A0"/>
          <w:rFonts w:ascii="Arial" w:hAnsi="Arial" w:cs="Arial"/>
          <w:color w:val="auto"/>
          <w:sz w:val="20"/>
          <w:szCs w:val="20"/>
        </w:rPr>
        <w:t>int shall be at least 2.5 mils.</w:t>
      </w:r>
    </w:p>
    <w:p w14:paraId="7C46F285" w14:textId="77777777" w:rsidR="00110F02" w:rsidRDefault="00110F02" w:rsidP="00110F02">
      <w:pPr>
        <w:pStyle w:val="Pa1"/>
        <w:numPr>
          <w:ilvl w:val="0"/>
          <w:numId w:val="3"/>
        </w:numPr>
        <w:spacing w:after="240"/>
        <w:jc w:val="both"/>
        <w:rPr>
          <w:rStyle w:val="A0"/>
          <w:rFonts w:ascii="Arial" w:hAnsi="Arial" w:cs="Arial"/>
          <w:color w:val="auto"/>
          <w:sz w:val="20"/>
          <w:szCs w:val="20"/>
        </w:rPr>
      </w:pPr>
      <w:r w:rsidRPr="00110F02">
        <w:rPr>
          <w:rStyle w:val="A0"/>
          <w:rFonts w:ascii="Arial" w:hAnsi="Arial" w:cs="Arial"/>
          <w:b/>
          <w:bCs/>
          <w:color w:val="auto"/>
          <w:sz w:val="20"/>
          <w:szCs w:val="20"/>
        </w:rPr>
        <w:t xml:space="preserve">Burlap and PE film </w:t>
      </w:r>
      <w:r w:rsidRPr="00110F02">
        <w:rPr>
          <w:rStyle w:val="A0"/>
          <w:rFonts w:ascii="Arial" w:hAnsi="Arial" w:cs="Arial"/>
          <w:color w:val="auto"/>
          <w:sz w:val="20"/>
          <w:szCs w:val="20"/>
        </w:rPr>
        <w:t>may be used in combination. They shall be bonded securely so that they cannot be easily separated in a dry or saturated condition. White PE film shall conform to the reflectance requirements of AASHTO M171. Burlap shall conform to AASHTO M182, Class 3. The combination product shall have a total weight of 11 ounces per square yard with</w:t>
      </w:r>
      <w:r>
        <w:rPr>
          <w:rStyle w:val="A0"/>
          <w:rFonts w:ascii="Arial" w:hAnsi="Arial" w:cs="Arial"/>
          <w:color w:val="auto"/>
          <w:sz w:val="20"/>
          <w:szCs w:val="20"/>
        </w:rPr>
        <w:t xml:space="preserve"> 11 threads of burlap per inch.</w:t>
      </w:r>
    </w:p>
    <w:p w14:paraId="48D2D6F2" w14:textId="77777777" w:rsidR="00110F02" w:rsidRDefault="00110F02" w:rsidP="00110F02">
      <w:pPr>
        <w:pStyle w:val="Pa1"/>
        <w:numPr>
          <w:ilvl w:val="0"/>
          <w:numId w:val="3"/>
        </w:numPr>
        <w:spacing w:after="240"/>
        <w:jc w:val="both"/>
        <w:rPr>
          <w:rStyle w:val="A0"/>
          <w:rFonts w:ascii="Arial" w:hAnsi="Arial" w:cs="Arial"/>
          <w:color w:val="auto"/>
          <w:sz w:val="20"/>
          <w:szCs w:val="20"/>
        </w:rPr>
      </w:pPr>
      <w:r w:rsidRPr="00110F02">
        <w:rPr>
          <w:rStyle w:val="A0"/>
          <w:rFonts w:ascii="Arial" w:hAnsi="Arial" w:cs="Arial"/>
          <w:b/>
          <w:bCs/>
          <w:color w:val="auto"/>
          <w:sz w:val="20"/>
          <w:szCs w:val="20"/>
        </w:rPr>
        <w:t xml:space="preserve">Liquid membrane-forming compounds </w:t>
      </w:r>
      <w:r w:rsidRPr="00110F02">
        <w:rPr>
          <w:rStyle w:val="A0"/>
          <w:rFonts w:ascii="Arial" w:hAnsi="Arial" w:cs="Arial"/>
          <w:color w:val="auto"/>
          <w:sz w:val="20"/>
          <w:szCs w:val="20"/>
        </w:rPr>
        <w:t xml:space="preserve">shall be used on concrete masonry except bridge substructure elements. Fugitive dye compounds shall be used on bridge substructure elements. The Contractor shall protect concrete surfaces or remove liquid membrane-forming compound from concrete surfaces to which a bonding compound, joint </w:t>
      </w:r>
      <w:proofErr w:type="gramStart"/>
      <w:r w:rsidRPr="00110F02">
        <w:rPr>
          <w:rStyle w:val="A0"/>
          <w:rFonts w:ascii="Arial" w:hAnsi="Arial" w:cs="Arial"/>
          <w:color w:val="auto"/>
          <w:sz w:val="20"/>
          <w:szCs w:val="20"/>
        </w:rPr>
        <w:t>sealer,</w:t>
      </w:r>
      <w:proofErr w:type="gramEnd"/>
      <w:r w:rsidRPr="00110F02">
        <w:rPr>
          <w:rStyle w:val="A0"/>
          <w:rFonts w:ascii="Arial" w:hAnsi="Arial" w:cs="Arial"/>
          <w:color w:val="auto"/>
          <w:sz w:val="20"/>
          <w:szCs w:val="20"/>
        </w:rPr>
        <w:t xml:space="preserve"> or waterproo</w:t>
      </w:r>
      <w:r>
        <w:rPr>
          <w:rStyle w:val="A0"/>
          <w:rFonts w:ascii="Arial" w:hAnsi="Arial" w:cs="Arial"/>
          <w:color w:val="auto"/>
          <w:sz w:val="20"/>
          <w:szCs w:val="20"/>
        </w:rPr>
        <w:t>fing material is to be applied.</w:t>
      </w:r>
    </w:p>
    <w:p w14:paraId="5B8CDAB4" w14:textId="77777777" w:rsidR="00110F02" w:rsidRDefault="00110F02" w:rsidP="00110F02">
      <w:pPr>
        <w:pStyle w:val="Pa1"/>
        <w:spacing w:after="240"/>
        <w:ind w:left="360"/>
        <w:jc w:val="both"/>
        <w:rPr>
          <w:rStyle w:val="A0"/>
          <w:rFonts w:ascii="Arial" w:hAnsi="Arial" w:cs="Arial"/>
          <w:color w:val="auto"/>
          <w:sz w:val="20"/>
          <w:szCs w:val="20"/>
        </w:rPr>
      </w:pPr>
      <w:r w:rsidRPr="00110F02">
        <w:rPr>
          <w:rStyle w:val="A0"/>
          <w:rFonts w:ascii="Arial" w:hAnsi="Arial" w:cs="Arial"/>
          <w:color w:val="auto"/>
          <w:sz w:val="20"/>
          <w:szCs w:val="20"/>
        </w:rPr>
        <w:t xml:space="preserve">Liquid membrane-forming compounds will be tested in accordance with VTM-2 and </w:t>
      </w:r>
      <w:r>
        <w:rPr>
          <w:rStyle w:val="A0"/>
          <w:rFonts w:ascii="Arial" w:hAnsi="Arial" w:cs="Arial"/>
          <w:color w:val="auto"/>
          <w:sz w:val="20"/>
          <w:szCs w:val="20"/>
        </w:rPr>
        <w:t>shall conform to the following:</w:t>
      </w:r>
    </w:p>
    <w:p w14:paraId="45AF0E98" w14:textId="77777777" w:rsidR="00110F02" w:rsidRDefault="00110F02" w:rsidP="00110F02">
      <w:pPr>
        <w:pStyle w:val="Pa1"/>
        <w:numPr>
          <w:ilvl w:val="1"/>
          <w:numId w:val="3"/>
        </w:numPr>
        <w:spacing w:after="240"/>
        <w:jc w:val="both"/>
        <w:rPr>
          <w:rStyle w:val="A0"/>
          <w:rFonts w:ascii="Arial" w:hAnsi="Arial" w:cs="Arial"/>
          <w:color w:val="auto"/>
          <w:sz w:val="20"/>
          <w:szCs w:val="20"/>
        </w:rPr>
      </w:pPr>
      <w:r w:rsidRPr="00110F02">
        <w:rPr>
          <w:rStyle w:val="A0"/>
          <w:rFonts w:ascii="Arial" w:hAnsi="Arial" w:cs="Arial"/>
          <w:color w:val="auto"/>
          <w:sz w:val="20"/>
          <w:szCs w:val="20"/>
        </w:rPr>
        <w:t>Liquid membrane-forming compounds shall contain an easily dispersed opaque, white, finely ground pigment or a fugitive dye. They shall not react with the components of concrete and shall not contain oils, waxes, or other materials that would prevent bonding of traffic paints or applied pavement markings. The resulting film shall be continuous, uniform, and free from pinholes, bubbles, or blisters and shall not darken the hardened concrete. The dye shall have sufficient color to be distinctly visible for at least 30 minutes after application and desig</w:t>
      </w:r>
      <w:r>
        <w:rPr>
          <w:rStyle w:val="A0"/>
          <w:rFonts w:ascii="Arial" w:hAnsi="Arial" w:cs="Arial"/>
          <w:color w:val="auto"/>
          <w:sz w:val="20"/>
          <w:szCs w:val="20"/>
        </w:rPr>
        <w:t>ned to disappear within 7 days.</w:t>
      </w:r>
    </w:p>
    <w:p w14:paraId="67CFC9F0" w14:textId="77777777" w:rsidR="00110F02" w:rsidRDefault="00110F02" w:rsidP="00110F02">
      <w:pPr>
        <w:pStyle w:val="Pa1"/>
        <w:numPr>
          <w:ilvl w:val="1"/>
          <w:numId w:val="3"/>
        </w:numPr>
        <w:spacing w:after="240"/>
        <w:jc w:val="both"/>
        <w:rPr>
          <w:rStyle w:val="A0"/>
          <w:rFonts w:ascii="Arial" w:hAnsi="Arial" w:cs="Arial"/>
          <w:color w:val="auto"/>
          <w:sz w:val="20"/>
          <w:szCs w:val="20"/>
        </w:rPr>
      </w:pPr>
      <w:r w:rsidRPr="00110F02">
        <w:rPr>
          <w:rStyle w:val="A0"/>
          <w:rFonts w:ascii="Arial" w:hAnsi="Arial" w:cs="Arial"/>
          <w:color w:val="auto"/>
          <w:sz w:val="20"/>
          <w:szCs w:val="20"/>
        </w:rPr>
        <w:t>The membrane shall not peel. It shall be designed to disappear by gradual disintegration from exposure to the elements over a period of at least 30 days but not more than 1 year. Within 60 days after application, the membrane shall be capable of being readily removed by means of steel wire brushes or another abrasive that will n</w:t>
      </w:r>
      <w:r>
        <w:rPr>
          <w:rStyle w:val="A0"/>
          <w:rFonts w:ascii="Arial" w:hAnsi="Arial" w:cs="Arial"/>
          <w:color w:val="auto"/>
          <w:sz w:val="20"/>
          <w:szCs w:val="20"/>
        </w:rPr>
        <w:t>ot damage the concrete surface.</w:t>
      </w:r>
    </w:p>
    <w:p w14:paraId="2982EB88" w14:textId="77777777" w:rsidR="00110F02" w:rsidRDefault="00110F02" w:rsidP="00110F02">
      <w:pPr>
        <w:pStyle w:val="Pa1"/>
        <w:numPr>
          <w:ilvl w:val="1"/>
          <w:numId w:val="3"/>
        </w:numPr>
        <w:spacing w:after="240"/>
        <w:jc w:val="both"/>
        <w:rPr>
          <w:rStyle w:val="A0"/>
          <w:rFonts w:ascii="Arial" w:hAnsi="Arial" w:cs="Arial"/>
          <w:color w:val="auto"/>
          <w:sz w:val="20"/>
          <w:szCs w:val="20"/>
        </w:rPr>
      </w:pPr>
      <w:r w:rsidRPr="00110F02">
        <w:rPr>
          <w:rStyle w:val="A0"/>
          <w:rFonts w:ascii="Arial" w:hAnsi="Arial" w:cs="Arial"/>
          <w:color w:val="auto"/>
          <w:sz w:val="20"/>
          <w:szCs w:val="20"/>
        </w:rPr>
        <w:t>When applied by pressure spray to a troweled, vertical, damp concrete surface at the rate specified, material shall adhere to the surface in a continuous, tenacious film without runn</w:t>
      </w:r>
      <w:r>
        <w:rPr>
          <w:rStyle w:val="A0"/>
          <w:rFonts w:ascii="Arial" w:hAnsi="Arial" w:cs="Arial"/>
          <w:color w:val="auto"/>
          <w:sz w:val="20"/>
          <w:szCs w:val="20"/>
        </w:rPr>
        <w:t>ing off or sagging appreciably.</w:t>
      </w:r>
    </w:p>
    <w:p w14:paraId="1E92971A" w14:textId="77777777" w:rsidR="00110F02" w:rsidRDefault="00110F02" w:rsidP="00110F02">
      <w:pPr>
        <w:pStyle w:val="Pa1"/>
        <w:numPr>
          <w:ilvl w:val="1"/>
          <w:numId w:val="3"/>
        </w:numPr>
        <w:spacing w:after="240"/>
        <w:jc w:val="both"/>
        <w:rPr>
          <w:rStyle w:val="A0"/>
          <w:rFonts w:ascii="Arial" w:hAnsi="Arial" w:cs="Arial"/>
          <w:color w:val="auto"/>
          <w:sz w:val="20"/>
          <w:szCs w:val="20"/>
        </w:rPr>
      </w:pPr>
      <w:r w:rsidRPr="00110F02">
        <w:rPr>
          <w:rStyle w:val="A0"/>
          <w:rFonts w:ascii="Arial" w:hAnsi="Arial" w:cs="Arial"/>
          <w:color w:val="auto"/>
          <w:sz w:val="20"/>
          <w:szCs w:val="20"/>
        </w:rPr>
        <w:t>Shipping containers sh</w:t>
      </w:r>
      <w:bookmarkStart w:id="0" w:name="_GoBack"/>
      <w:bookmarkEnd w:id="0"/>
      <w:r w:rsidRPr="00110F02">
        <w:rPr>
          <w:rStyle w:val="A0"/>
          <w:rFonts w:ascii="Arial" w:hAnsi="Arial" w:cs="Arial"/>
          <w:color w:val="auto"/>
          <w:sz w:val="20"/>
          <w:szCs w:val="20"/>
        </w:rPr>
        <w:t>all identify the trade name of the material and a lot or batch number except for small, locally repackaged containers</w:t>
      </w:r>
      <w:r>
        <w:rPr>
          <w:rStyle w:val="A0"/>
          <w:rFonts w:ascii="Arial" w:hAnsi="Arial" w:cs="Arial"/>
          <w:color w:val="auto"/>
          <w:sz w:val="20"/>
          <w:szCs w:val="20"/>
        </w:rPr>
        <w:t xml:space="preserve"> bearing the Department’s seal.</w:t>
      </w:r>
    </w:p>
    <w:p w14:paraId="78BB79FD" w14:textId="77777777" w:rsidR="00110F02" w:rsidRDefault="00110F02" w:rsidP="00110F02">
      <w:pPr>
        <w:pStyle w:val="Pa1"/>
        <w:numPr>
          <w:ilvl w:val="1"/>
          <w:numId w:val="3"/>
        </w:numPr>
        <w:spacing w:after="240"/>
        <w:jc w:val="both"/>
        <w:rPr>
          <w:rStyle w:val="A0"/>
          <w:rFonts w:ascii="Arial" w:hAnsi="Arial" w:cs="Arial"/>
          <w:color w:val="auto"/>
          <w:sz w:val="20"/>
          <w:szCs w:val="20"/>
        </w:rPr>
      </w:pPr>
      <w:r w:rsidRPr="00110F02">
        <w:rPr>
          <w:rStyle w:val="A0"/>
          <w:rFonts w:ascii="Arial" w:hAnsi="Arial" w:cs="Arial"/>
          <w:color w:val="auto"/>
          <w:sz w:val="20"/>
          <w:szCs w:val="20"/>
        </w:rPr>
        <w:lastRenderedPageBreak/>
        <w:t>The average moisture loss at 24 hours shall be not more than 0.20 kilograms per square meter of exposed surface. At 72 hours, it shall be not more than 0</w:t>
      </w:r>
      <w:r>
        <w:rPr>
          <w:rStyle w:val="A0"/>
          <w:rFonts w:ascii="Arial" w:hAnsi="Arial" w:cs="Arial"/>
          <w:color w:val="auto"/>
          <w:sz w:val="20"/>
          <w:szCs w:val="20"/>
        </w:rPr>
        <w:t>.30 kilograms per square meter.</w:t>
      </w:r>
    </w:p>
    <w:p w14:paraId="4B43CBEE" w14:textId="77777777" w:rsidR="00110F02" w:rsidRDefault="00110F02" w:rsidP="00110F02">
      <w:pPr>
        <w:pStyle w:val="Pa1"/>
        <w:numPr>
          <w:ilvl w:val="1"/>
          <w:numId w:val="3"/>
        </w:numPr>
        <w:spacing w:after="240"/>
        <w:jc w:val="both"/>
        <w:rPr>
          <w:rStyle w:val="A0"/>
          <w:rFonts w:ascii="Arial" w:hAnsi="Arial" w:cs="Arial"/>
          <w:color w:val="auto"/>
          <w:sz w:val="20"/>
          <w:szCs w:val="20"/>
        </w:rPr>
      </w:pPr>
      <w:r w:rsidRPr="00110F02">
        <w:rPr>
          <w:rStyle w:val="A0"/>
          <w:rFonts w:ascii="Arial" w:hAnsi="Arial" w:cs="Arial"/>
          <w:color w:val="auto"/>
          <w:sz w:val="20"/>
          <w:szCs w:val="20"/>
        </w:rPr>
        <w:t>When applied to the test specimen, white pigmented materi</w:t>
      </w:r>
      <w:r>
        <w:rPr>
          <w:rStyle w:val="A0"/>
          <w:rFonts w:ascii="Arial" w:hAnsi="Arial" w:cs="Arial"/>
          <w:color w:val="auto"/>
          <w:sz w:val="20"/>
          <w:szCs w:val="20"/>
        </w:rPr>
        <w:t>al shall have a daylight reflec</w:t>
      </w:r>
      <w:r w:rsidRPr="00110F02">
        <w:rPr>
          <w:rStyle w:val="A0"/>
          <w:rFonts w:ascii="Arial" w:hAnsi="Arial" w:cs="Arial"/>
          <w:color w:val="auto"/>
          <w:sz w:val="20"/>
          <w:szCs w:val="20"/>
        </w:rPr>
        <w:t>tance of at least 60 percent of that of magnesium ox</w:t>
      </w:r>
      <w:r>
        <w:rPr>
          <w:rStyle w:val="A0"/>
          <w:rFonts w:ascii="Arial" w:hAnsi="Arial" w:cs="Arial"/>
          <w:color w:val="auto"/>
          <w:sz w:val="20"/>
          <w:szCs w:val="20"/>
        </w:rPr>
        <w:t>ide.</w:t>
      </w:r>
    </w:p>
    <w:p w14:paraId="02F34E65" w14:textId="77777777" w:rsidR="002C3456" w:rsidRPr="00110F02" w:rsidRDefault="00110F02" w:rsidP="00110F02">
      <w:pPr>
        <w:pStyle w:val="Pa1"/>
        <w:numPr>
          <w:ilvl w:val="0"/>
          <w:numId w:val="3"/>
        </w:numPr>
        <w:spacing w:after="240"/>
        <w:jc w:val="both"/>
        <w:rPr>
          <w:rFonts w:ascii="Arial" w:hAnsi="Arial" w:cs="Arial"/>
          <w:sz w:val="20"/>
          <w:szCs w:val="20"/>
        </w:rPr>
      </w:pPr>
      <w:r w:rsidRPr="00110F02">
        <w:rPr>
          <w:rStyle w:val="A0"/>
          <w:rFonts w:ascii="Arial" w:hAnsi="Arial" w:cs="Arial"/>
          <w:b/>
          <w:bCs/>
          <w:color w:val="auto"/>
          <w:sz w:val="20"/>
          <w:szCs w:val="20"/>
        </w:rPr>
        <w:t xml:space="preserve">Water </w:t>
      </w:r>
      <w:r w:rsidRPr="00110F02">
        <w:rPr>
          <w:rStyle w:val="A0"/>
          <w:rFonts w:ascii="Arial" w:hAnsi="Arial" w:cs="Arial"/>
          <w:color w:val="auto"/>
          <w:sz w:val="20"/>
          <w:szCs w:val="20"/>
        </w:rPr>
        <w:t>used for curing concrete shall be clean, clear, and free from oil and other deleterious substances and s</w:t>
      </w:r>
      <w:r>
        <w:rPr>
          <w:rStyle w:val="A0"/>
          <w:rFonts w:ascii="Arial" w:hAnsi="Arial" w:cs="Arial"/>
          <w:color w:val="auto"/>
          <w:sz w:val="20"/>
          <w:szCs w:val="20"/>
        </w:rPr>
        <w:t>hall have a pH of at least 4.5.</w:t>
      </w:r>
    </w:p>
    <w:sectPr w:rsidR="002C3456" w:rsidRPr="00110F0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040B9A"/>
    <w:multiLevelType w:val="multilevel"/>
    <w:tmpl w:val="F04AFF18"/>
    <w:styleLink w:val="SpecialProvision"/>
    <w:lvl w:ilvl="0">
      <w:start w:val="1"/>
      <w:numFmt w:val="upperRoman"/>
      <w:lvlText w:val="%1."/>
      <w:lvlJc w:val="left"/>
      <w:pPr>
        <w:ind w:left="360" w:hanging="360"/>
      </w:pPr>
      <w:rPr>
        <w:rFonts w:ascii="Arial" w:hAnsi="Arial" w:hint="default"/>
        <w:sz w:val="20"/>
      </w:rPr>
    </w:lvl>
    <w:lvl w:ilvl="1">
      <w:start w:val="1"/>
      <w:numFmt w:val="decimal"/>
      <w:lvlText w:val="%2."/>
      <w:lvlJc w:val="left"/>
      <w:pPr>
        <w:ind w:left="720" w:hanging="360"/>
      </w:pPr>
      <w:rPr>
        <w:rFonts w:ascii="Arial" w:hAnsi="Arial" w:hint="default"/>
        <w:sz w:val="20"/>
      </w:rPr>
    </w:lvl>
    <w:lvl w:ilvl="2">
      <w:start w:val="1"/>
      <w:numFmt w:val="upperLetter"/>
      <w:lvlText w:val="%3."/>
      <w:lvlJc w:val="left"/>
      <w:pPr>
        <w:ind w:left="1080" w:hanging="360"/>
      </w:pPr>
      <w:rPr>
        <w:rFonts w:ascii="Arial" w:hAnsi="Arial" w:hint="default"/>
        <w:sz w:val="20"/>
      </w:rPr>
    </w:lvl>
    <w:lvl w:ilvl="3">
      <w:start w:val="1"/>
      <w:numFmt w:val="decimal"/>
      <w:lvlText w:val="(%4)"/>
      <w:lvlJc w:val="left"/>
      <w:pPr>
        <w:ind w:left="1440" w:hanging="360"/>
      </w:pPr>
      <w:rPr>
        <w:rFonts w:ascii="Arial" w:hAnsi="Arial" w:hint="default"/>
        <w:sz w:val="20"/>
      </w:rPr>
    </w:lvl>
    <w:lvl w:ilvl="4">
      <w:start w:val="1"/>
      <w:numFmt w:val="lowerLetter"/>
      <w:lvlText w:val="(%5)"/>
      <w:lvlJc w:val="left"/>
      <w:pPr>
        <w:ind w:left="1800" w:hanging="360"/>
      </w:pPr>
      <w:rPr>
        <w:rFonts w:ascii="Arial" w:hAnsi="Arial" w:hint="default"/>
        <w:sz w:val="2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4DD361D9"/>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 w15:restartNumberingAfterBreak="0">
    <w:nsid w:val="6B060A91"/>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62B5"/>
    <w:rsid w:val="00110F02"/>
    <w:rsid w:val="001516D1"/>
    <w:rsid w:val="002C3456"/>
    <w:rsid w:val="00605B43"/>
    <w:rsid w:val="00743FC4"/>
    <w:rsid w:val="007F62B5"/>
    <w:rsid w:val="00BC064E"/>
    <w:rsid w:val="00D15617"/>
    <w:rsid w:val="00DC78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AC7527"/>
  <w15:docId w15:val="{A35138F5-943B-4EC8-B6D5-528C4E64A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pecialProvision">
    <w:name w:val="Special Provision"/>
    <w:rsid w:val="00BC064E"/>
    <w:pPr>
      <w:numPr>
        <w:numId w:val="1"/>
      </w:numPr>
    </w:pPr>
  </w:style>
  <w:style w:type="paragraph" w:styleId="ListParagraph">
    <w:name w:val="List Paragraph"/>
    <w:basedOn w:val="Normal"/>
    <w:uiPriority w:val="34"/>
    <w:qFormat/>
    <w:rsid w:val="007F62B5"/>
    <w:pPr>
      <w:ind w:left="720"/>
      <w:contextualSpacing/>
    </w:pPr>
  </w:style>
  <w:style w:type="paragraph" w:customStyle="1" w:styleId="Default">
    <w:name w:val="Default"/>
    <w:rsid w:val="00110F02"/>
    <w:pPr>
      <w:autoSpaceDE w:val="0"/>
      <w:autoSpaceDN w:val="0"/>
      <w:adjustRightInd w:val="0"/>
      <w:spacing w:after="0" w:line="240" w:lineRule="auto"/>
    </w:pPr>
    <w:rPr>
      <w:rFonts w:ascii="TimesNewRomanPS" w:hAnsi="TimesNewRomanPS" w:cs="TimesNewRomanPS"/>
      <w:color w:val="000000"/>
      <w:sz w:val="24"/>
      <w:szCs w:val="24"/>
    </w:rPr>
  </w:style>
  <w:style w:type="paragraph" w:customStyle="1" w:styleId="Pa0">
    <w:name w:val="Pa0"/>
    <w:basedOn w:val="Default"/>
    <w:next w:val="Default"/>
    <w:uiPriority w:val="99"/>
    <w:rsid w:val="00110F02"/>
    <w:pPr>
      <w:spacing w:line="241" w:lineRule="atLeast"/>
    </w:pPr>
    <w:rPr>
      <w:rFonts w:cstheme="minorBidi"/>
      <w:color w:val="auto"/>
    </w:rPr>
  </w:style>
  <w:style w:type="character" w:customStyle="1" w:styleId="A2">
    <w:name w:val="A2"/>
    <w:uiPriority w:val="99"/>
    <w:rsid w:val="00110F02"/>
    <w:rPr>
      <w:rFonts w:cs="TimesNewRomanPS"/>
      <w:b/>
      <w:bCs/>
      <w:color w:val="000000"/>
      <w:sz w:val="20"/>
      <w:szCs w:val="20"/>
    </w:rPr>
  </w:style>
  <w:style w:type="paragraph" w:customStyle="1" w:styleId="Pa1">
    <w:name w:val="Pa1"/>
    <w:basedOn w:val="Default"/>
    <w:next w:val="Default"/>
    <w:uiPriority w:val="99"/>
    <w:rsid w:val="00110F02"/>
    <w:pPr>
      <w:spacing w:line="241" w:lineRule="atLeast"/>
    </w:pPr>
    <w:rPr>
      <w:rFonts w:cstheme="minorBidi"/>
      <w:color w:val="auto"/>
    </w:rPr>
  </w:style>
  <w:style w:type="character" w:customStyle="1" w:styleId="A0">
    <w:name w:val="A0"/>
    <w:uiPriority w:val="99"/>
    <w:rsid w:val="00110F02"/>
    <w:rPr>
      <w:rFonts w:cs="TimesNewRomanPS"/>
      <w:color w:val="000000"/>
      <w:sz w:val="18"/>
      <w:szCs w:val="18"/>
    </w:rPr>
  </w:style>
  <w:style w:type="paragraph" w:customStyle="1" w:styleId="Pa2">
    <w:name w:val="Pa2"/>
    <w:basedOn w:val="Default"/>
    <w:next w:val="Default"/>
    <w:uiPriority w:val="99"/>
    <w:rsid w:val="00110F02"/>
    <w:pPr>
      <w:spacing w:line="241" w:lineRule="atLeast"/>
    </w:pPr>
    <w:rPr>
      <w:rFonts w:cstheme="minorBidi"/>
      <w:color w:val="auto"/>
    </w:rPr>
  </w:style>
  <w:style w:type="paragraph" w:customStyle="1" w:styleId="Pa4">
    <w:name w:val="Pa4"/>
    <w:basedOn w:val="Default"/>
    <w:next w:val="Default"/>
    <w:uiPriority w:val="99"/>
    <w:rsid w:val="00110F02"/>
    <w:pPr>
      <w:spacing w:line="241" w:lineRule="atLeast"/>
    </w:pPr>
    <w:rPr>
      <w:rFonts w:cstheme="minorBidi"/>
      <w:color w:val="auto"/>
    </w:rPr>
  </w:style>
  <w:style w:type="paragraph" w:customStyle="1" w:styleId="Pa5">
    <w:name w:val="Pa5"/>
    <w:basedOn w:val="Default"/>
    <w:next w:val="Default"/>
    <w:uiPriority w:val="99"/>
    <w:rsid w:val="00110F02"/>
    <w:pPr>
      <w:spacing w:line="241" w:lineRule="atLeast"/>
    </w:pPr>
    <w:rPr>
      <w:rFonts w:cstheme="minorBidi"/>
      <w:color w:val="auto"/>
    </w:rPr>
  </w:style>
  <w:style w:type="paragraph" w:customStyle="1" w:styleId="Pa10">
    <w:name w:val="Pa10"/>
    <w:basedOn w:val="Default"/>
    <w:next w:val="Default"/>
    <w:uiPriority w:val="99"/>
    <w:rsid w:val="00110F02"/>
    <w:pPr>
      <w:spacing w:line="241" w:lineRule="atLeast"/>
    </w:pPr>
    <w:rPr>
      <w:rFonts w:cstheme="minorBidi"/>
      <w:color w:val="auto"/>
    </w:rPr>
  </w:style>
  <w:style w:type="paragraph" w:customStyle="1" w:styleId="Pa3">
    <w:name w:val="Pa3"/>
    <w:basedOn w:val="Default"/>
    <w:next w:val="Default"/>
    <w:uiPriority w:val="99"/>
    <w:rsid w:val="00110F02"/>
    <w:pPr>
      <w:spacing w:line="24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 xsi:nil="true"/>
    <Availability_x0020_Date xmlns="2328571d-b9d5-471b-8d96-2ccb743ec3d4">2016-07-12T04:00:00+00:00</Availability_x0020_Date>
    <Document_x0020_Type xmlns="2328571d-b9d5-471b-8d96-2ccb743ec3d4">Spec Book</Document_x0020_Type>
    <Specification_x0020_Number xmlns="2328571d-b9d5-471b-8d96-2ccb743ec3d4">BK220-002020-00</Specification_x0020_Number>
    <Status xmlns="2328571d-b9d5-471b-8d96-2ccb743ec3d4">Active</Status>
    <Usage_x0020_Guidelines xmlns="2328571d-b9d5-471b-8d96-2ccb743ec3d4" xsi:nil="true"/>
    <DB_x0020_Pick_x0020_List xmlns="2328571d-b9d5-471b-8d96-2ccb743ec3d4">false</DB_x0020_Pick_x0020_List>
    <ASW_x0020_Pick_x0020_List xmlns="2328571d-b9d5-471b-8d96-2ccb743ec3d4">false</ASW_x0020_Pick_x0020_List>
    <DBB_x0020_Pick_x0020_List xmlns="2328571d-b9d5-471b-8d96-2ccb743ec3d4">false</DBB_x0020_Pick_x0020_List>
    <Division xmlns="2328571d-b9d5-471b-8d96-2ccb743ec3d4">II</Division>
    <Section xmlns="2328571d-b9d5-471b-8d96-2ccb743ec3d4">220</Section>
    <LAP_x0020_Pick_x0020_List xmlns="2328571d-b9d5-471b-8d96-2ccb743ec3d4">false</LAP_x0020_Pick_x0020_List>
    <Revision_x0020_Date xmlns="2328571d-b9d5-471b-8d96-2ccb743ec3d4" xsi:nil="true"/>
    <ASW_x0020_Guidelines xmlns="2328571d-b9d5-471b-8d96-2ccb743ec3d4" xsi:nil="true"/>
  </documentManagement>
</p:properties>
</file>

<file path=customXml/itemProps1.xml><?xml version="1.0" encoding="utf-8"?>
<ds:datastoreItem xmlns:ds="http://schemas.openxmlformats.org/officeDocument/2006/customXml" ds:itemID="{26A1997E-0776-42CB-853B-294335DDD842}"/>
</file>

<file path=customXml/itemProps2.xml><?xml version="1.0" encoding="utf-8"?>
<ds:datastoreItem xmlns:ds="http://schemas.openxmlformats.org/officeDocument/2006/customXml" ds:itemID="{88679511-00C9-4610-B74E-26204A23723B}"/>
</file>

<file path=customXml/itemProps3.xml><?xml version="1.0" encoding="utf-8"?>
<ds:datastoreItem xmlns:ds="http://schemas.openxmlformats.org/officeDocument/2006/customXml" ds:itemID="{331781D0-614B-458C-AD83-C46F3B8F9B68}"/>
</file>

<file path=docProps/app.xml><?xml version="1.0" encoding="utf-8"?>
<Properties xmlns="http://schemas.openxmlformats.org/officeDocument/2006/extended-properties" xmlns:vt="http://schemas.openxmlformats.org/officeDocument/2006/docPropsVTypes">
  <Template>Normal</Template>
  <TotalTime>1</TotalTime>
  <Pages>2</Pages>
  <Words>524</Words>
  <Characters>2988</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Concrete Curing Materials</vt:lpstr>
    </vt:vector>
  </TitlesOfParts>
  <Company>Virginia IT Infrastructure Partnership</Company>
  <LinksUpToDate>false</LinksUpToDate>
  <CharactersWithSpaces>3505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Concrete Curing Materials</dc:title>
  <dc:creator>douglas.mcavoy</dc:creator>
  <cp:lastModifiedBy>Changes</cp:lastModifiedBy>
  <cp:revision>2</cp:revision>
  <dcterms:created xsi:type="dcterms:W3CDTF">2019-12-30T15:25:00Z</dcterms:created>
  <dcterms:modified xsi:type="dcterms:W3CDTF">2019-12-30T15:25:00Z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0x010100771DA6D9234A1F4BB626256BCE9A5673</vt:lpwstr>
  </property>
  <property fmtid="{D5CDD505-2E9C-101B-9397-08002B2CF9AE}" pid="3" name="Order">
    <vt:r8>3100</vt:r8>
  </property>
  <property fmtid="{D5CDD505-2E9C-101B-9397-08002B2CF9AE}" pid="4" name="Sources">
    <vt:lpwstr>https://insidevdot.cov.virginia.gov/div/sc/Design/Specs/Book/2014SBS/Forms/2014SBSD.aspx/100?RootFolder=/div%2Fsc%2FDesign%2FSpecs%2FBook%2F2014SBS%2F100&amp;View={31A41434-813F-44DE-AF21-B6DA4197C93E}, 100</vt:lpwstr>
  </property>
  <property fmtid="{D5CDD505-2E9C-101B-9397-08002B2CF9AE}" pid="5" name="_dlc_DocIdItemGuid">
    <vt:lpwstr>a483220a-4e33-4b3d-bc29-9fd42f71fd42</vt:lpwstr>
  </property>
  <property fmtid="{D5CDD505-2E9C-101B-9397-08002B2CF9AE}" pid="6" name="AROTCE">
    <vt:lpwstr/>
  </property>
  <property fmtid="{D5CDD505-2E9C-101B-9397-08002B2CF9AE}" pid="7" name="SME(s)">
    <vt:lpwstr/>
  </property>
  <property fmtid="{D5CDD505-2E9C-101B-9397-08002B2CF9AE}" pid="8" name="xd_Signature">
    <vt:bool>false</vt:bool>
  </property>
  <property fmtid="{D5CDD505-2E9C-101B-9397-08002B2CF9AE}" pid="9" name="List">
    <vt:lpwstr>SPEC100</vt:lpwstr>
  </property>
  <property fmtid="{D5CDD505-2E9C-101B-9397-08002B2CF9AE}" pid="10" name="xd_ProgID">
    <vt:lpwstr/>
  </property>
  <property fmtid="{D5CDD505-2E9C-101B-9397-08002B2CF9AE}" pid="11" name="_dlc_DocId">
    <vt:lpwstr>/insidevdot/div/sc/Design/Specs/Book|a483220a-4e33-4b3d-bc29-9fd42f71fd42</vt:lpwstr>
  </property>
  <property fmtid="{D5CDD505-2E9C-101B-9397-08002B2CF9AE}" pid="12" name="_dlc_DocIdUrl">
    <vt:lpwstr>https://insidevdot.cov.virginia.gov/div/sc/Design/Specs/Book/_layouts/DocIdRedir.aspx?ID=%2finsidevdot%2fdiv%2fsc%2fDesign%2fSpecs%2fBook%7ca483220a-4e33-4b3d-bc29-9fd42f71fd42, /insidevdot/div/sc/Design/Specs/Book|a483220a-4e33-4b3d-bc29-9fd42f71fd42</vt:lpwstr>
  </property>
  <property fmtid="{D5CDD505-2E9C-101B-9397-08002B2CF9AE}" pid="13" name="Locked">
    <vt:lpwstr>N</vt:lpwstr>
  </property>
  <property fmtid="{D5CDD505-2E9C-101B-9397-08002B2CF9AE}" pid="14" name="TemplateUrl">
    <vt:lpwstr/>
  </property>
  <property fmtid="{D5CDD505-2E9C-101B-9397-08002B2CF9AE}" pid="15" name="Specification Number">
    <vt:lpwstr>BK220-002016-00</vt:lpwstr>
  </property>
  <property fmtid="{D5CDD505-2E9C-101B-9397-08002B2CF9AE}" pid="16" name="Availability Date">
    <vt:filetime>2016-07-01T04:00:00Z</vt:filetime>
  </property>
  <property fmtid="{D5CDD505-2E9C-101B-9397-08002B2CF9AE}" pid="17" name="Document Type">
    <vt:lpwstr>Spec Book</vt:lpwstr>
  </property>
  <property fmtid="{D5CDD505-2E9C-101B-9397-08002B2CF9AE}" pid="18" name="Status">
    <vt:lpwstr>Active</vt:lpwstr>
  </property>
  <property fmtid="{D5CDD505-2E9C-101B-9397-08002B2CF9AE}" pid="19" name="Contains Fields">
    <vt:lpwstr>No</vt:lpwstr>
  </property>
  <property fmtid="{D5CDD505-2E9C-101B-9397-08002B2CF9AE}" pid="20" name="Div">
    <vt:lpwstr>II</vt:lpwstr>
  </property>
  <property fmtid="{D5CDD505-2E9C-101B-9397-08002B2CF9AE}" pid="21" name="Sect">
    <vt:lpwstr>220</vt:lpwstr>
  </property>
  <property fmtid="{D5CDD505-2E9C-101B-9397-08002B2CF9AE}" pid="22" name="WORD Direct">
    <vt:lpwstr>, </vt:lpwstr>
  </property>
  <property fmtid="{D5CDD505-2E9C-101B-9397-08002B2CF9AE}" pid="23" name="PDMS-Specs (1st Loc)">
    <vt:lpwstr>, </vt:lpwstr>
  </property>
  <property fmtid="{D5CDD505-2E9C-101B-9397-08002B2CF9AE}" pid="24" name="PDMS">
    <vt:lpwstr>, </vt:lpwstr>
  </property>
  <property fmtid="{D5CDD505-2E9C-101B-9397-08002B2CF9AE}" pid="25" name="CNSP Database">
    <vt:lpwstr>, </vt:lpwstr>
  </property>
  <property fmtid="{D5CDD505-2E9C-101B-9397-08002B2CF9AE}" pid="26" name="Spec Groups">
    <vt:lpwstr>, </vt:lpwstr>
  </property>
  <property fmtid="{D5CDD505-2E9C-101B-9397-08002B2CF9AE}" pid="27" name="Web Page No.">
    <vt:lpwstr>, </vt:lpwstr>
  </property>
  <property fmtid="{D5CDD505-2E9C-101B-9397-08002B2CF9AE}" pid="28" name="On Check-List">
    <vt:bool>false</vt:bool>
  </property>
  <property fmtid="{D5CDD505-2E9C-101B-9397-08002B2CF9AE}" pid="29" name="Pick List">
    <vt:bool>true</vt:bool>
  </property>
  <property fmtid="{D5CDD505-2E9C-101B-9397-08002B2CF9AE}" pid="30" name="Spec No. (Pick List)">
    <vt:lpwstr>, </vt:lpwstr>
  </property>
</Properties>
</file>