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01750" w14:textId="77777777" w:rsidR="00841084" w:rsidRPr="00841084" w:rsidRDefault="00841084" w:rsidP="00841084">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249 – </w:t>
      </w:r>
      <w:r w:rsidRPr="00841084">
        <w:rPr>
          <w:rStyle w:val="A2"/>
          <w:rFonts w:ascii="Arial" w:hAnsi="Arial" w:cs="Arial"/>
        </w:rPr>
        <w:t xml:space="preserve">FLOWABLE BACKFILL </w:t>
      </w:r>
    </w:p>
    <w:p w14:paraId="29DB5665" w14:textId="77777777" w:rsidR="00841084" w:rsidRPr="00841084" w:rsidRDefault="00841084" w:rsidP="00841084">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249.01 – </w:t>
      </w:r>
      <w:r w:rsidRPr="00841084">
        <w:rPr>
          <w:rStyle w:val="A0"/>
          <w:rFonts w:ascii="Arial" w:hAnsi="Arial" w:cs="Arial"/>
          <w:b/>
          <w:bCs/>
          <w:color w:val="auto"/>
          <w:sz w:val="20"/>
          <w:szCs w:val="20"/>
        </w:rPr>
        <w:t xml:space="preserve">Description </w:t>
      </w:r>
    </w:p>
    <w:p w14:paraId="5E8E1D9B" w14:textId="77777777" w:rsidR="00841084" w:rsidRDefault="00841084" w:rsidP="00841084">
      <w:pPr>
        <w:pStyle w:val="Pa1"/>
        <w:spacing w:after="240"/>
        <w:jc w:val="both"/>
        <w:rPr>
          <w:rStyle w:val="A0"/>
          <w:rFonts w:ascii="Arial" w:hAnsi="Arial" w:cs="Arial"/>
          <w:color w:val="auto"/>
          <w:sz w:val="20"/>
          <w:szCs w:val="20"/>
        </w:rPr>
      </w:pPr>
      <w:r w:rsidRPr="00841084">
        <w:rPr>
          <w:rStyle w:val="A0"/>
          <w:rFonts w:ascii="Arial" w:hAnsi="Arial" w:cs="Arial"/>
          <w:color w:val="auto"/>
          <w:sz w:val="20"/>
          <w:szCs w:val="20"/>
        </w:rPr>
        <w:t xml:space="preserve">These specifications cover materials, design criteria, and mixing and testing procedures for </w:t>
      </w:r>
      <w:proofErr w:type="spellStart"/>
      <w:r w:rsidRPr="00841084">
        <w:rPr>
          <w:rStyle w:val="A0"/>
          <w:rFonts w:ascii="Arial" w:hAnsi="Arial" w:cs="Arial"/>
          <w:color w:val="auto"/>
          <w:sz w:val="20"/>
          <w:szCs w:val="20"/>
        </w:rPr>
        <w:t>flowable</w:t>
      </w:r>
      <w:proofErr w:type="spellEnd"/>
      <w:r w:rsidRPr="00841084">
        <w:rPr>
          <w:rStyle w:val="A0"/>
          <w:rFonts w:ascii="Arial" w:hAnsi="Arial" w:cs="Arial"/>
          <w:color w:val="auto"/>
          <w:sz w:val="20"/>
          <w:szCs w:val="20"/>
        </w:rPr>
        <w:t xml:space="preserve"> backfill used in applications where modified liquid or plastic concrete is required for backfilling pipe installations and plugging abandoned pipe</w:t>
      </w:r>
      <w:r>
        <w:rPr>
          <w:rStyle w:val="A0"/>
          <w:rFonts w:ascii="Arial" w:hAnsi="Arial" w:cs="Arial"/>
          <w:color w:val="auto"/>
          <w:sz w:val="20"/>
          <w:szCs w:val="20"/>
        </w:rPr>
        <w:t xml:space="preserve"> lines, culverts, and conduits.</w:t>
      </w:r>
    </w:p>
    <w:p w14:paraId="0D12B700" w14:textId="77777777" w:rsidR="00841084" w:rsidRDefault="00841084" w:rsidP="00841084">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249.02 – Materials</w:t>
      </w:r>
    </w:p>
    <w:p w14:paraId="22033FDC"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Hydraulic Cement </w:t>
      </w:r>
      <w:r>
        <w:rPr>
          <w:rStyle w:val="A0"/>
          <w:rFonts w:ascii="Arial" w:hAnsi="Arial" w:cs="Arial"/>
          <w:color w:val="auto"/>
          <w:sz w:val="20"/>
          <w:szCs w:val="20"/>
        </w:rPr>
        <w:t>shall conform to Section 214.</w:t>
      </w:r>
    </w:p>
    <w:p w14:paraId="71B5B1FC"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Fly Ash </w:t>
      </w:r>
      <w:r w:rsidRPr="00841084">
        <w:rPr>
          <w:rStyle w:val="A0"/>
          <w:rFonts w:ascii="Arial" w:hAnsi="Arial" w:cs="Arial"/>
          <w:color w:val="auto"/>
          <w:sz w:val="20"/>
          <w:szCs w:val="20"/>
        </w:rPr>
        <w:t>shal</w:t>
      </w:r>
      <w:r>
        <w:rPr>
          <w:rStyle w:val="A0"/>
          <w:rFonts w:ascii="Arial" w:hAnsi="Arial" w:cs="Arial"/>
          <w:color w:val="auto"/>
          <w:sz w:val="20"/>
          <w:szCs w:val="20"/>
        </w:rPr>
        <w:t>l conform to Section 241.02(a).</w:t>
      </w:r>
    </w:p>
    <w:p w14:paraId="627A134C"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Water </w:t>
      </w:r>
      <w:r w:rsidRPr="00841084">
        <w:rPr>
          <w:rStyle w:val="A0"/>
          <w:rFonts w:ascii="Arial" w:hAnsi="Arial" w:cs="Arial"/>
          <w:color w:val="auto"/>
          <w:sz w:val="20"/>
          <w:szCs w:val="20"/>
        </w:rPr>
        <w:t>shall conform to Section 216, except that wash water as described in Section 216.02 ma</w:t>
      </w:r>
      <w:r>
        <w:rPr>
          <w:rStyle w:val="A0"/>
          <w:rFonts w:ascii="Arial" w:hAnsi="Arial" w:cs="Arial"/>
          <w:color w:val="auto"/>
          <w:sz w:val="20"/>
          <w:szCs w:val="20"/>
        </w:rPr>
        <w:t>y comprise the total mix water.</w:t>
      </w:r>
    </w:p>
    <w:p w14:paraId="0043231B"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Aggregates </w:t>
      </w:r>
      <w:r w:rsidRPr="00841084">
        <w:rPr>
          <w:rStyle w:val="A0"/>
          <w:rFonts w:ascii="Arial" w:hAnsi="Arial" w:cs="Arial"/>
          <w:color w:val="auto"/>
          <w:sz w:val="20"/>
          <w:szCs w:val="20"/>
        </w:rPr>
        <w:t xml:space="preserve">shall conform to Sections 202 and 203 with a combined gradation as determined </w:t>
      </w:r>
      <w:r>
        <w:rPr>
          <w:rStyle w:val="A0"/>
          <w:rFonts w:ascii="Arial" w:hAnsi="Arial" w:cs="Arial"/>
          <w:color w:val="auto"/>
          <w:sz w:val="20"/>
          <w:szCs w:val="20"/>
        </w:rPr>
        <w:t>by the Contractor.</w:t>
      </w:r>
    </w:p>
    <w:p w14:paraId="2AA663C7"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Admixtures </w:t>
      </w:r>
      <w:r>
        <w:rPr>
          <w:rStyle w:val="A0"/>
          <w:rFonts w:ascii="Arial" w:hAnsi="Arial" w:cs="Arial"/>
          <w:color w:val="auto"/>
          <w:sz w:val="20"/>
          <w:szCs w:val="20"/>
        </w:rPr>
        <w:t>shall conform to Section 215.</w:t>
      </w:r>
    </w:p>
    <w:p w14:paraId="4C4EA023" w14:textId="77777777" w:rsidR="00841084" w:rsidRDefault="00841084" w:rsidP="00841084">
      <w:pPr>
        <w:pStyle w:val="Pa1"/>
        <w:numPr>
          <w:ilvl w:val="0"/>
          <w:numId w:val="3"/>
        </w:numPr>
        <w:spacing w:after="240"/>
        <w:jc w:val="both"/>
        <w:rPr>
          <w:rStyle w:val="A0"/>
          <w:rFonts w:ascii="Arial" w:hAnsi="Arial" w:cs="Arial"/>
          <w:color w:val="auto"/>
          <w:sz w:val="20"/>
          <w:szCs w:val="20"/>
        </w:rPr>
      </w:pPr>
      <w:r w:rsidRPr="00841084">
        <w:rPr>
          <w:rStyle w:val="A0"/>
          <w:rFonts w:ascii="Arial" w:hAnsi="Arial" w:cs="Arial"/>
          <w:b/>
          <w:bCs/>
          <w:color w:val="auto"/>
          <w:sz w:val="20"/>
          <w:szCs w:val="20"/>
        </w:rPr>
        <w:t xml:space="preserve">Granulated Iron Blast Furnace Slag </w:t>
      </w:r>
      <w:r>
        <w:rPr>
          <w:rStyle w:val="A0"/>
          <w:rFonts w:ascii="Arial" w:hAnsi="Arial" w:cs="Arial"/>
          <w:color w:val="auto"/>
          <w:sz w:val="20"/>
          <w:szCs w:val="20"/>
        </w:rPr>
        <w:t>shall conform to Section 215.</w:t>
      </w:r>
    </w:p>
    <w:p w14:paraId="7F623494" w14:textId="77777777" w:rsidR="00841084" w:rsidRDefault="00841084" w:rsidP="00841084">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249.03 – Mix Design</w:t>
      </w:r>
    </w:p>
    <w:p w14:paraId="7588181C" w14:textId="200FF50C" w:rsidR="00841084" w:rsidRDefault="00841084" w:rsidP="00841084">
      <w:pPr>
        <w:pStyle w:val="Pa1"/>
        <w:spacing w:after="240"/>
        <w:jc w:val="both"/>
        <w:rPr>
          <w:rStyle w:val="A0"/>
          <w:rFonts w:ascii="Arial" w:hAnsi="Arial" w:cs="Arial"/>
          <w:color w:val="auto"/>
          <w:sz w:val="20"/>
          <w:szCs w:val="20"/>
        </w:rPr>
      </w:pPr>
      <w:r w:rsidRPr="00841084">
        <w:rPr>
          <w:rStyle w:val="A0"/>
          <w:rFonts w:ascii="Arial" w:hAnsi="Arial" w:cs="Arial"/>
          <w:color w:val="auto"/>
          <w:sz w:val="20"/>
          <w:szCs w:val="20"/>
        </w:rPr>
        <w:t xml:space="preserve">The Contractor shall provide the appropriate mix design for the </w:t>
      </w:r>
      <w:proofErr w:type="spellStart"/>
      <w:r w:rsidRPr="00841084">
        <w:rPr>
          <w:rStyle w:val="A0"/>
          <w:rFonts w:ascii="Arial" w:hAnsi="Arial" w:cs="Arial"/>
          <w:color w:val="auto"/>
          <w:sz w:val="20"/>
          <w:szCs w:val="20"/>
        </w:rPr>
        <w:t>flowable</w:t>
      </w:r>
      <w:proofErr w:type="spellEnd"/>
      <w:r w:rsidRPr="00841084">
        <w:rPr>
          <w:rStyle w:val="A0"/>
          <w:rFonts w:ascii="Arial" w:hAnsi="Arial" w:cs="Arial"/>
          <w:color w:val="auto"/>
          <w:sz w:val="20"/>
          <w:szCs w:val="20"/>
        </w:rPr>
        <w:t xml:space="preserve"> backfill application. </w:t>
      </w:r>
      <w:proofErr w:type="spellStart"/>
      <w:r w:rsidRPr="00841084">
        <w:rPr>
          <w:rStyle w:val="A0"/>
          <w:rFonts w:ascii="Arial" w:hAnsi="Arial" w:cs="Arial"/>
          <w:color w:val="auto"/>
          <w:sz w:val="20"/>
          <w:szCs w:val="20"/>
        </w:rPr>
        <w:t>Flowable</w:t>
      </w:r>
      <w:proofErr w:type="spellEnd"/>
      <w:r w:rsidRPr="00841084">
        <w:rPr>
          <w:rStyle w:val="A0"/>
          <w:rFonts w:ascii="Arial" w:hAnsi="Arial" w:cs="Arial"/>
          <w:color w:val="auto"/>
          <w:sz w:val="20"/>
          <w:szCs w:val="20"/>
        </w:rPr>
        <w:t xml:space="preserve"> backfill shall have a design compressive strength of 30 to 200 pounds pe</w:t>
      </w:r>
      <w:r w:rsidR="00854734">
        <w:rPr>
          <w:rStyle w:val="A0"/>
          <w:rFonts w:ascii="Arial" w:hAnsi="Arial" w:cs="Arial"/>
          <w:color w:val="auto"/>
          <w:sz w:val="20"/>
          <w:szCs w:val="20"/>
        </w:rPr>
        <w:t>r square inch when used as back</w:t>
      </w:r>
      <w:r w:rsidRPr="00841084">
        <w:rPr>
          <w:rStyle w:val="A0"/>
          <w:rFonts w:ascii="Arial" w:hAnsi="Arial" w:cs="Arial"/>
          <w:color w:val="auto"/>
          <w:sz w:val="20"/>
          <w:szCs w:val="20"/>
        </w:rPr>
        <w:t>fill material in pipe installations or in other uses at locati</w:t>
      </w:r>
      <w:r>
        <w:rPr>
          <w:rStyle w:val="A0"/>
          <w:rFonts w:ascii="Arial" w:hAnsi="Arial" w:cs="Arial"/>
          <w:color w:val="auto"/>
          <w:sz w:val="20"/>
          <w:szCs w:val="20"/>
        </w:rPr>
        <w:t>ons as designated on the plans.</w:t>
      </w:r>
    </w:p>
    <w:p w14:paraId="0111DE3D" w14:textId="77777777" w:rsidR="002C3456" w:rsidRPr="00841084" w:rsidRDefault="00841084" w:rsidP="00841084">
      <w:pPr>
        <w:pStyle w:val="Pa1"/>
        <w:spacing w:after="240"/>
        <w:jc w:val="both"/>
        <w:rPr>
          <w:rFonts w:ascii="Arial" w:hAnsi="Arial" w:cs="Arial"/>
          <w:sz w:val="20"/>
          <w:szCs w:val="20"/>
        </w:rPr>
      </w:pPr>
      <w:proofErr w:type="spellStart"/>
      <w:r w:rsidRPr="00841084">
        <w:rPr>
          <w:rStyle w:val="A0"/>
          <w:rFonts w:ascii="Arial" w:hAnsi="Arial" w:cs="Arial"/>
          <w:color w:val="auto"/>
          <w:sz w:val="20"/>
          <w:szCs w:val="20"/>
        </w:rPr>
        <w:t>Flowable</w:t>
      </w:r>
      <w:proofErr w:type="spellEnd"/>
      <w:r w:rsidRPr="00841084">
        <w:rPr>
          <w:rStyle w:val="A0"/>
          <w:rFonts w:ascii="Arial" w:hAnsi="Arial" w:cs="Arial"/>
          <w:color w:val="auto"/>
          <w:sz w:val="20"/>
          <w:szCs w:val="20"/>
        </w:rPr>
        <w:t xml:space="preserve"> backfill shall have a design compressive strength of 30 to 1200 pounds per square inch when used as backfill material for plugging pipes and culverts designated for abandonment as shown on the plans. The design compressive strength requirement shall be at 28 days when tested in accordance with ASTM D 4832. Mix design shall result in a fluid product having no less than an 8-inch slump at the time of placement. The Contractor shall submit a mix design verifying compliance with 28 day compressive strength requirements supported by laboratory test data to the Engineer for review. The Contractor must have the Engineer’s acceptance of the Contractor’s mix design and test data prior to placement of the </w:t>
      </w:r>
      <w:proofErr w:type="spellStart"/>
      <w:r w:rsidRPr="00841084">
        <w:rPr>
          <w:rStyle w:val="A0"/>
          <w:rFonts w:ascii="Arial" w:hAnsi="Arial" w:cs="Arial"/>
          <w:color w:val="auto"/>
          <w:sz w:val="20"/>
          <w:szCs w:val="20"/>
        </w:rPr>
        <w:t>flowable</w:t>
      </w:r>
      <w:proofErr w:type="spellEnd"/>
      <w:r w:rsidRPr="00841084">
        <w:rPr>
          <w:rStyle w:val="A0"/>
          <w:rFonts w:ascii="Arial" w:hAnsi="Arial" w:cs="Arial"/>
          <w:color w:val="auto"/>
          <w:sz w:val="20"/>
          <w:szCs w:val="20"/>
        </w:rPr>
        <w:t xml:space="preserve"> backfill.</w:t>
      </w:r>
    </w:p>
    <w:sectPr w:rsidR="002C3456" w:rsidRPr="008410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6DF264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13B80"/>
    <w:rsid w:val="002C3456"/>
    <w:rsid w:val="003A2682"/>
    <w:rsid w:val="00651052"/>
    <w:rsid w:val="00743FC4"/>
    <w:rsid w:val="007F62B5"/>
    <w:rsid w:val="00841084"/>
    <w:rsid w:val="00854734"/>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24FD5"/>
  <w15:docId w15:val="{50E93FA6-2BBD-4D34-8485-977E1CCF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841084"/>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841084"/>
    <w:pPr>
      <w:spacing w:line="241" w:lineRule="atLeast"/>
    </w:pPr>
    <w:rPr>
      <w:rFonts w:cstheme="minorBidi"/>
      <w:color w:val="auto"/>
    </w:rPr>
  </w:style>
  <w:style w:type="character" w:customStyle="1" w:styleId="A2">
    <w:name w:val="A2"/>
    <w:uiPriority w:val="99"/>
    <w:rsid w:val="00841084"/>
    <w:rPr>
      <w:rFonts w:cs="TimesNewRomanPS"/>
      <w:b/>
      <w:bCs/>
      <w:color w:val="000000"/>
      <w:sz w:val="20"/>
      <w:szCs w:val="20"/>
    </w:rPr>
  </w:style>
  <w:style w:type="paragraph" w:customStyle="1" w:styleId="Pa1">
    <w:name w:val="Pa1"/>
    <w:basedOn w:val="Default"/>
    <w:next w:val="Default"/>
    <w:uiPriority w:val="99"/>
    <w:rsid w:val="00841084"/>
    <w:pPr>
      <w:spacing w:line="241" w:lineRule="atLeast"/>
    </w:pPr>
    <w:rPr>
      <w:rFonts w:cstheme="minorBidi"/>
      <w:color w:val="auto"/>
    </w:rPr>
  </w:style>
  <w:style w:type="character" w:customStyle="1" w:styleId="A0">
    <w:name w:val="A0"/>
    <w:uiPriority w:val="99"/>
    <w:rsid w:val="00841084"/>
    <w:rPr>
      <w:rFonts w:cs="TimesNewRomanPS"/>
      <w:color w:val="000000"/>
      <w:sz w:val="18"/>
      <w:szCs w:val="18"/>
    </w:rPr>
  </w:style>
  <w:style w:type="paragraph" w:customStyle="1" w:styleId="Pa4">
    <w:name w:val="Pa4"/>
    <w:basedOn w:val="Default"/>
    <w:next w:val="Default"/>
    <w:uiPriority w:val="99"/>
    <w:rsid w:val="00841084"/>
    <w:pPr>
      <w:spacing w:line="241" w:lineRule="atLeast"/>
    </w:pPr>
    <w:rPr>
      <w:rFonts w:cstheme="minorBidi"/>
      <w:color w:val="auto"/>
    </w:rPr>
  </w:style>
  <w:style w:type="paragraph" w:customStyle="1" w:styleId="Pa5">
    <w:name w:val="Pa5"/>
    <w:basedOn w:val="Default"/>
    <w:next w:val="Default"/>
    <w:uiPriority w:val="99"/>
    <w:rsid w:val="00841084"/>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9BC910D1-3852-41A0-9618-DBCC721EDAA2}"/>
</file>

<file path=customXml/itemProps2.xml><?xml version="1.0" encoding="utf-8"?>
<ds:datastoreItem xmlns:ds="http://schemas.openxmlformats.org/officeDocument/2006/customXml" ds:itemID="{9481D053-FFF4-4C93-BE57-F84D4B49CE4F}"/>
</file>

<file path=customXml/itemProps3.xml><?xml version="1.0" encoding="utf-8"?>
<ds:datastoreItem xmlns:ds="http://schemas.openxmlformats.org/officeDocument/2006/customXml" ds:itemID="{71B25977-F8BD-4CF0-9658-5FF3C98565A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Flowable Backfill</vt:lpstr>
    </vt:vector>
  </TitlesOfParts>
  <Company>Virginia IT Infrastructure Partnership</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Flowable Backfill</dc:title>
  <dc:creator>douglas.mcavoy</dc:creator>
  <cp:lastModifiedBy>Changes</cp:lastModifiedBy>
  <cp:revision>2</cp:revision>
  <dcterms:created xsi:type="dcterms:W3CDTF">2019-12-30T19:44:00Z</dcterms:created>
  <dcterms:modified xsi:type="dcterms:W3CDTF">2019-12-30T19:44:00Z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6000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96471f9b-36e7-401f-902d-7dcecb09dd46</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/insidevdot/div/sc/Design/Specs/Book|96471f9b-36e7-401f-902d-7dcecb09dd46</vt:lpwstr>
  </property>
  <property fmtid="{D5CDD505-2E9C-101B-9397-08002B2CF9AE}" pid="10" name="_dlc_DocIdUrl">
    <vt:lpwstr>https://insidevdot.cov.virginia.gov/div/sc/Design/Specs/Book/_layouts/DocIdRedir.aspx?ID=%2finsidevdot%2fdiv%2fsc%2fDesign%2fSpecs%2fBook%7c96471f9b-36e7-401f-902d-7dcecb09dd46, /insidevdot/div/sc/Design/Specs/Book|96471f9b-36e7-401f-902d-7dcecb09dd46</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BK249-002016-00</vt:lpwstr>
  </property>
  <property fmtid="{D5CDD505-2E9C-101B-9397-08002B2CF9AE}" pid="14" name="Availability Date">
    <vt:filetime>2016-07-01T04:00:00Z</vt:filetime>
  </property>
  <property fmtid="{D5CDD505-2E9C-101B-9397-08002B2CF9AE}" pid="15" name="Sect">
    <vt:lpwstr>249</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