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556E4" w14:textId="77777777" w:rsidR="00582F8B" w:rsidRPr="00582F8B" w:rsidRDefault="00582F8B" w:rsidP="00582F8B">
      <w:pPr>
        <w:pStyle w:val="Pa0"/>
        <w:spacing w:after="240"/>
        <w:jc w:val="center"/>
        <w:outlineLvl w:val="0"/>
        <w:rPr>
          <w:rFonts w:ascii="Arial" w:hAnsi="Arial" w:cs="Arial"/>
          <w:sz w:val="20"/>
          <w:szCs w:val="20"/>
        </w:rPr>
      </w:pPr>
      <w:r>
        <w:rPr>
          <w:rStyle w:val="A2"/>
          <w:rFonts w:ascii="Arial" w:hAnsi="Arial" w:cs="Arial"/>
        </w:rPr>
        <w:t xml:space="preserve">SECTION 309 – </w:t>
      </w:r>
      <w:r w:rsidRPr="00582F8B">
        <w:rPr>
          <w:rStyle w:val="A2"/>
          <w:rFonts w:ascii="Arial" w:hAnsi="Arial" w:cs="Arial"/>
        </w:rPr>
        <w:t xml:space="preserve">AGGREGATE BASE COURSE </w:t>
      </w:r>
    </w:p>
    <w:p w14:paraId="13633542" w14:textId="77777777" w:rsidR="00582F8B" w:rsidRPr="00582F8B" w:rsidRDefault="00582F8B" w:rsidP="00582F8B">
      <w:pPr>
        <w:pStyle w:val="Pa1"/>
        <w:spacing w:after="240"/>
        <w:jc w:val="both"/>
        <w:outlineLvl w:val="1"/>
        <w:rPr>
          <w:rFonts w:ascii="Arial" w:hAnsi="Arial" w:cs="Arial"/>
          <w:sz w:val="20"/>
          <w:szCs w:val="20"/>
        </w:rPr>
      </w:pPr>
      <w:proofErr w:type="gramStart"/>
      <w:r>
        <w:rPr>
          <w:rStyle w:val="A0"/>
          <w:rFonts w:ascii="Arial" w:hAnsi="Arial" w:cs="Arial"/>
          <w:b/>
          <w:bCs/>
          <w:color w:val="auto"/>
          <w:sz w:val="20"/>
          <w:szCs w:val="20"/>
        </w:rPr>
        <w:t>309.01</w:t>
      </w:r>
      <w:proofErr w:type="gramEnd"/>
      <w:r>
        <w:rPr>
          <w:rStyle w:val="A0"/>
          <w:rFonts w:ascii="Arial" w:hAnsi="Arial" w:cs="Arial"/>
          <w:b/>
          <w:bCs/>
          <w:color w:val="auto"/>
          <w:sz w:val="20"/>
          <w:szCs w:val="20"/>
        </w:rPr>
        <w:t xml:space="preserve"> – </w:t>
      </w:r>
      <w:r w:rsidRPr="00582F8B">
        <w:rPr>
          <w:rStyle w:val="A0"/>
          <w:rFonts w:ascii="Arial" w:hAnsi="Arial" w:cs="Arial"/>
          <w:b/>
          <w:bCs/>
          <w:color w:val="auto"/>
          <w:sz w:val="20"/>
          <w:szCs w:val="20"/>
        </w:rPr>
        <w:t xml:space="preserve">Description </w:t>
      </w:r>
    </w:p>
    <w:p w14:paraId="5FFEE2F1" w14:textId="77777777"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 xml:space="preserve">This work shall consist of furnishing and placing one or more courses of aggregates and additives, if required, on a prepared surface in accordance with these specifications and in conformity with the lines, grades, and typical sections and cross sections shown on the plans or </w:t>
      </w:r>
      <w:r>
        <w:rPr>
          <w:rStyle w:val="A0"/>
          <w:rFonts w:ascii="Arial" w:hAnsi="Arial" w:cs="Arial"/>
          <w:color w:val="auto"/>
          <w:sz w:val="20"/>
          <w:szCs w:val="20"/>
        </w:rPr>
        <w:t>as established by the Engineer.</w:t>
      </w:r>
    </w:p>
    <w:p w14:paraId="505519B5" w14:textId="77777777" w:rsidR="00582F8B" w:rsidRDefault="00582F8B" w:rsidP="00582F8B">
      <w:pPr>
        <w:pStyle w:val="Pa1"/>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309.02</w:t>
      </w:r>
      <w:proofErr w:type="gramEnd"/>
      <w:r>
        <w:rPr>
          <w:rStyle w:val="A0"/>
          <w:rFonts w:ascii="Arial" w:hAnsi="Arial" w:cs="Arial"/>
          <w:b/>
          <w:bCs/>
          <w:color w:val="auto"/>
          <w:sz w:val="20"/>
          <w:szCs w:val="20"/>
        </w:rPr>
        <w:t xml:space="preserve"> – Materials</w:t>
      </w:r>
    </w:p>
    <w:p w14:paraId="6BC80CA4" w14:textId="77777777" w:rsidR="00582F8B" w:rsidRDefault="00582F8B" w:rsidP="00582F8B">
      <w:pPr>
        <w:pStyle w:val="Pa1"/>
        <w:numPr>
          <w:ilvl w:val="0"/>
          <w:numId w:val="3"/>
        </w:numPr>
        <w:spacing w:after="240"/>
        <w:jc w:val="both"/>
        <w:rPr>
          <w:rStyle w:val="A0"/>
          <w:rFonts w:ascii="Arial" w:hAnsi="Arial" w:cs="Arial"/>
          <w:color w:val="auto"/>
          <w:sz w:val="20"/>
          <w:szCs w:val="20"/>
        </w:rPr>
      </w:pPr>
      <w:r w:rsidRPr="00582F8B">
        <w:rPr>
          <w:rStyle w:val="A0"/>
          <w:rFonts w:ascii="Arial" w:hAnsi="Arial" w:cs="Arial"/>
          <w:b/>
          <w:bCs/>
          <w:color w:val="auto"/>
          <w:sz w:val="20"/>
          <w:szCs w:val="20"/>
        </w:rPr>
        <w:t xml:space="preserve">Aggregate material </w:t>
      </w:r>
      <w:r w:rsidRPr="00582F8B">
        <w:rPr>
          <w:rStyle w:val="A0"/>
          <w:rFonts w:ascii="Arial" w:hAnsi="Arial" w:cs="Arial"/>
          <w:color w:val="auto"/>
          <w:sz w:val="20"/>
          <w:szCs w:val="20"/>
        </w:rPr>
        <w:t xml:space="preserve">shall conform to Section 208.02(b) except where other types of aggregate material are specified in the contract, in which case the applicable specifications governing the </w:t>
      </w:r>
      <w:r>
        <w:rPr>
          <w:rStyle w:val="A0"/>
          <w:rFonts w:ascii="Arial" w:hAnsi="Arial" w:cs="Arial"/>
          <w:color w:val="auto"/>
          <w:sz w:val="20"/>
          <w:szCs w:val="20"/>
        </w:rPr>
        <w:t>specified material shall apply.</w:t>
      </w:r>
    </w:p>
    <w:p w14:paraId="7499F240" w14:textId="77777777" w:rsidR="00582F8B" w:rsidRDefault="00582F8B" w:rsidP="00582F8B">
      <w:pPr>
        <w:pStyle w:val="Pa1"/>
        <w:numPr>
          <w:ilvl w:val="0"/>
          <w:numId w:val="3"/>
        </w:numPr>
        <w:spacing w:after="240"/>
        <w:jc w:val="both"/>
        <w:rPr>
          <w:rStyle w:val="A0"/>
          <w:rFonts w:ascii="Arial" w:hAnsi="Arial" w:cs="Arial"/>
          <w:color w:val="auto"/>
          <w:sz w:val="20"/>
          <w:szCs w:val="20"/>
        </w:rPr>
      </w:pPr>
      <w:r w:rsidRPr="00582F8B">
        <w:rPr>
          <w:rStyle w:val="A0"/>
          <w:rFonts w:ascii="Arial" w:hAnsi="Arial" w:cs="Arial"/>
          <w:b/>
          <w:bCs/>
          <w:color w:val="auto"/>
          <w:sz w:val="20"/>
          <w:szCs w:val="20"/>
        </w:rPr>
        <w:t xml:space="preserve">Calcium chloride and sodium chloride </w:t>
      </w:r>
      <w:r w:rsidRPr="00582F8B">
        <w:rPr>
          <w:rStyle w:val="A0"/>
          <w:rFonts w:ascii="Arial" w:hAnsi="Arial" w:cs="Arial"/>
          <w:color w:val="auto"/>
          <w:sz w:val="20"/>
          <w:szCs w:val="20"/>
        </w:rPr>
        <w:t>shall conform to</w:t>
      </w:r>
      <w:r>
        <w:rPr>
          <w:rStyle w:val="A0"/>
          <w:rFonts w:ascii="Arial" w:hAnsi="Arial" w:cs="Arial"/>
          <w:color w:val="auto"/>
          <w:sz w:val="20"/>
          <w:szCs w:val="20"/>
        </w:rPr>
        <w:t xml:space="preserve"> Section 239.</w:t>
      </w:r>
    </w:p>
    <w:p w14:paraId="50EF790F" w14:textId="77777777" w:rsidR="00582F8B" w:rsidRDefault="00582F8B" w:rsidP="00582F8B">
      <w:pPr>
        <w:pStyle w:val="Pa1"/>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309.03</w:t>
      </w:r>
      <w:proofErr w:type="gramEnd"/>
      <w:r>
        <w:rPr>
          <w:rStyle w:val="A0"/>
          <w:rFonts w:ascii="Arial" w:hAnsi="Arial" w:cs="Arial"/>
          <w:b/>
          <w:bCs/>
          <w:color w:val="auto"/>
          <w:sz w:val="20"/>
          <w:szCs w:val="20"/>
        </w:rPr>
        <w:t xml:space="preserve"> – Equipment</w:t>
      </w:r>
    </w:p>
    <w:p w14:paraId="0E041F60" w14:textId="6963E09F"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The Engineer will approve the equipment used for the construction of aggregate base course prior to performance of such work. Any machine, combination of machines, or equipment that handles the material without undue segregation and produce the completed base in accordance with these specifications for spreading, moistening, mixing, and compacting will</w:t>
      </w:r>
      <w:r>
        <w:rPr>
          <w:rStyle w:val="A0"/>
          <w:rFonts w:ascii="Arial" w:hAnsi="Arial" w:cs="Arial"/>
          <w:color w:val="auto"/>
          <w:sz w:val="20"/>
          <w:szCs w:val="20"/>
        </w:rPr>
        <w:t xml:space="preserve"> be acceptable to the Engineer.</w:t>
      </w:r>
    </w:p>
    <w:p w14:paraId="4F346111" w14:textId="77777777" w:rsidR="00582F8B" w:rsidRDefault="00582F8B" w:rsidP="00582F8B">
      <w:pPr>
        <w:pStyle w:val="Pa1"/>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309.04</w:t>
      </w:r>
      <w:proofErr w:type="gramEnd"/>
      <w:r>
        <w:rPr>
          <w:rStyle w:val="A0"/>
          <w:rFonts w:ascii="Arial" w:hAnsi="Arial" w:cs="Arial"/>
          <w:b/>
          <w:bCs/>
          <w:color w:val="auto"/>
          <w:sz w:val="20"/>
          <w:szCs w:val="20"/>
        </w:rPr>
        <w:t xml:space="preserve"> – Procedures</w:t>
      </w:r>
    </w:p>
    <w:p w14:paraId="277CB60C" w14:textId="37AD11F3"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 xml:space="preserve">The Contractor shall prepare the surface or course upon which the base course is to be placed in accordance with the applicable provisions </w:t>
      </w:r>
      <w:r>
        <w:rPr>
          <w:rStyle w:val="A0"/>
          <w:rFonts w:ascii="Arial" w:hAnsi="Arial" w:cs="Arial"/>
          <w:color w:val="auto"/>
          <w:sz w:val="20"/>
          <w:szCs w:val="20"/>
        </w:rPr>
        <w:t>of Section 304 and Section 305.</w:t>
      </w:r>
    </w:p>
    <w:p w14:paraId="7660C146" w14:textId="77777777"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 xml:space="preserve">Base course material shall be mixed in an approved central mixing plant of the </w:t>
      </w:r>
      <w:proofErr w:type="spellStart"/>
      <w:r w:rsidRPr="00582F8B">
        <w:rPr>
          <w:rStyle w:val="A0"/>
          <w:rFonts w:ascii="Arial" w:hAnsi="Arial" w:cs="Arial"/>
          <w:color w:val="auto"/>
          <w:sz w:val="20"/>
          <w:szCs w:val="20"/>
        </w:rPr>
        <w:t>pugmill</w:t>
      </w:r>
      <w:proofErr w:type="spellEnd"/>
      <w:r w:rsidRPr="00582F8B">
        <w:rPr>
          <w:rStyle w:val="A0"/>
          <w:rFonts w:ascii="Arial" w:hAnsi="Arial" w:cs="Arial"/>
          <w:color w:val="auto"/>
          <w:sz w:val="20"/>
          <w:szCs w:val="20"/>
        </w:rPr>
        <w:t xml:space="preserve"> type. The Contractor shall place the mixed material by means of </w:t>
      </w:r>
      <w:r>
        <w:rPr>
          <w:rStyle w:val="A0"/>
          <w:rFonts w:ascii="Arial" w:hAnsi="Arial" w:cs="Arial"/>
          <w:color w:val="auto"/>
          <w:sz w:val="20"/>
          <w:szCs w:val="20"/>
        </w:rPr>
        <w:t>an approved aggregate spreader.</w:t>
      </w:r>
    </w:p>
    <w:p w14:paraId="78E38F3D" w14:textId="77777777" w:rsidR="00582F8B" w:rsidRDefault="00582F8B" w:rsidP="00582F8B">
      <w:pPr>
        <w:pStyle w:val="Pa1"/>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309.05</w:t>
      </w:r>
      <w:proofErr w:type="gramEnd"/>
      <w:r>
        <w:rPr>
          <w:rStyle w:val="A0"/>
          <w:rFonts w:ascii="Arial" w:hAnsi="Arial" w:cs="Arial"/>
          <w:b/>
          <w:bCs/>
          <w:color w:val="auto"/>
          <w:sz w:val="20"/>
          <w:szCs w:val="20"/>
        </w:rPr>
        <w:t>—Density Requirements</w:t>
      </w:r>
    </w:p>
    <w:p w14:paraId="4CFB1E41" w14:textId="77777777"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 xml:space="preserve">The Contractor shall spread and compact the material in two or more layers of approximately equal thickness where the required thickness is more than 6 inches. The compacted thickness of any one layer shall be not more than 6 inches, however the Engineer may approve increasing the compacted depth of a single layer of the base course to 10 inches when </w:t>
      </w:r>
      <w:proofErr w:type="gramStart"/>
      <w:r w:rsidRPr="00582F8B">
        <w:rPr>
          <w:rStyle w:val="A0"/>
          <w:rFonts w:ascii="Arial" w:hAnsi="Arial" w:cs="Arial"/>
          <w:color w:val="auto"/>
          <w:sz w:val="20"/>
          <w:szCs w:val="20"/>
        </w:rPr>
        <w:t>vibrating</w:t>
      </w:r>
      <w:proofErr w:type="gramEnd"/>
      <w:r w:rsidRPr="00582F8B">
        <w:rPr>
          <w:rStyle w:val="A0"/>
          <w:rFonts w:ascii="Arial" w:hAnsi="Arial" w:cs="Arial"/>
          <w:color w:val="auto"/>
          <w:sz w:val="20"/>
          <w:szCs w:val="20"/>
        </w:rPr>
        <w:t xml:space="preserve"> or other approved types of special</w:t>
      </w:r>
      <w:r>
        <w:rPr>
          <w:rStyle w:val="A0"/>
          <w:rFonts w:ascii="Arial" w:hAnsi="Arial" w:cs="Arial"/>
          <w:color w:val="auto"/>
          <w:sz w:val="20"/>
          <w:szCs w:val="20"/>
        </w:rPr>
        <w:t xml:space="preserve"> compacting equipment are used.</w:t>
      </w:r>
    </w:p>
    <w:p w14:paraId="58C490A2" w14:textId="0596571F"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The Contractor shall compact each layer at optimum moisture within ±2 percentage points of optimum after mixing and shaping. The density of each layer of base aggregate material, when compared to the theoretical maximum density as determined in accordance with VTM-1, shall conform to the following:</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710"/>
      </w:tblGrid>
      <w:tr w:rsidR="00582F8B" w14:paraId="36F282C6" w14:textId="77777777" w:rsidTr="00582F8B">
        <w:tc>
          <w:tcPr>
            <w:tcW w:w="3690" w:type="dxa"/>
            <w:tcBorders>
              <w:top w:val="single" w:sz="4" w:space="0" w:color="auto"/>
              <w:bottom w:val="single" w:sz="4" w:space="0" w:color="auto"/>
            </w:tcBorders>
          </w:tcPr>
          <w:p w14:paraId="07ED7BB5" w14:textId="77777777" w:rsidR="00582F8B" w:rsidRDefault="00582F8B" w:rsidP="00582F8B">
            <w:pPr>
              <w:pStyle w:val="Default"/>
              <w:jc w:val="center"/>
            </w:pPr>
            <w:r w:rsidRPr="00582F8B">
              <w:rPr>
                <w:rStyle w:val="A0"/>
                <w:rFonts w:ascii="Arial" w:hAnsi="Arial" w:cs="Arial"/>
                <w:b/>
                <w:bCs/>
                <w:color w:val="auto"/>
                <w:sz w:val="20"/>
                <w:szCs w:val="20"/>
              </w:rPr>
              <w:t>% Material Retained on No. 4 Sieve</w:t>
            </w:r>
          </w:p>
        </w:tc>
        <w:tc>
          <w:tcPr>
            <w:tcW w:w="1710" w:type="dxa"/>
            <w:tcBorders>
              <w:top w:val="single" w:sz="4" w:space="0" w:color="auto"/>
              <w:bottom w:val="single" w:sz="4" w:space="0" w:color="auto"/>
            </w:tcBorders>
          </w:tcPr>
          <w:p w14:paraId="3CAF94F6" w14:textId="77777777" w:rsidR="00582F8B" w:rsidRDefault="00582F8B" w:rsidP="00582F8B">
            <w:pPr>
              <w:pStyle w:val="Default"/>
              <w:jc w:val="center"/>
            </w:pPr>
            <w:r w:rsidRPr="00582F8B">
              <w:rPr>
                <w:rStyle w:val="A0"/>
                <w:rFonts w:ascii="Arial" w:hAnsi="Arial" w:cs="Arial"/>
                <w:b/>
                <w:bCs/>
                <w:color w:val="auto"/>
                <w:sz w:val="20"/>
                <w:szCs w:val="20"/>
              </w:rPr>
              <w:t>Min. % Density</w:t>
            </w:r>
          </w:p>
        </w:tc>
      </w:tr>
      <w:tr w:rsidR="00582F8B" w14:paraId="2EF5B01E" w14:textId="77777777" w:rsidTr="00582F8B">
        <w:tc>
          <w:tcPr>
            <w:tcW w:w="3690" w:type="dxa"/>
            <w:tcBorders>
              <w:top w:val="single" w:sz="4" w:space="0" w:color="auto"/>
            </w:tcBorders>
          </w:tcPr>
          <w:p w14:paraId="108FC4DE" w14:textId="77777777" w:rsidR="00582F8B" w:rsidRDefault="00582F8B" w:rsidP="00582F8B">
            <w:pPr>
              <w:pStyle w:val="Default"/>
              <w:jc w:val="center"/>
            </w:pPr>
            <w:r w:rsidRPr="00582F8B">
              <w:rPr>
                <w:rStyle w:val="A0"/>
                <w:rFonts w:ascii="Arial" w:hAnsi="Arial" w:cs="Arial"/>
                <w:color w:val="auto"/>
                <w:sz w:val="20"/>
                <w:szCs w:val="20"/>
              </w:rPr>
              <w:t>0-50</w:t>
            </w:r>
          </w:p>
        </w:tc>
        <w:tc>
          <w:tcPr>
            <w:tcW w:w="1710" w:type="dxa"/>
            <w:tcBorders>
              <w:top w:val="single" w:sz="4" w:space="0" w:color="auto"/>
            </w:tcBorders>
          </w:tcPr>
          <w:p w14:paraId="76803171" w14:textId="77777777" w:rsidR="00582F8B" w:rsidRDefault="00582F8B" w:rsidP="00582F8B">
            <w:pPr>
              <w:pStyle w:val="Default"/>
              <w:jc w:val="center"/>
            </w:pPr>
            <w:r w:rsidRPr="00582F8B">
              <w:rPr>
                <w:rStyle w:val="A0"/>
                <w:rFonts w:ascii="Arial" w:hAnsi="Arial" w:cs="Arial"/>
                <w:color w:val="auto"/>
                <w:sz w:val="20"/>
                <w:szCs w:val="20"/>
              </w:rPr>
              <w:t>100</w:t>
            </w:r>
          </w:p>
        </w:tc>
      </w:tr>
      <w:tr w:rsidR="00582F8B" w14:paraId="499B59E9" w14:textId="77777777" w:rsidTr="00582F8B">
        <w:tc>
          <w:tcPr>
            <w:tcW w:w="3690" w:type="dxa"/>
          </w:tcPr>
          <w:p w14:paraId="22723050" w14:textId="77777777" w:rsidR="00582F8B" w:rsidRDefault="00582F8B" w:rsidP="00582F8B">
            <w:pPr>
              <w:pStyle w:val="Default"/>
              <w:jc w:val="center"/>
            </w:pPr>
            <w:r w:rsidRPr="00582F8B">
              <w:rPr>
                <w:rStyle w:val="A0"/>
                <w:rFonts w:ascii="Arial" w:hAnsi="Arial" w:cs="Arial"/>
                <w:color w:val="auto"/>
                <w:sz w:val="20"/>
                <w:szCs w:val="20"/>
              </w:rPr>
              <w:t>51-60</w:t>
            </w:r>
          </w:p>
        </w:tc>
        <w:tc>
          <w:tcPr>
            <w:tcW w:w="1710" w:type="dxa"/>
          </w:tcPr>
          <w:p w14:paraId="11B4367F" w14:textId="77777777" w:rsidR="00582F8B" w:rsidRDefault="00582F8B" w:rsidP="00582F8B">
            <w:pPr>
              <w:pStyle w:val="Default"/>
              <w:jc w:val="center"/>
            </w:pPr>
            <w:r w:rsidRPr="00582F8B">
              <w:rPr>
                <w:rStyle w:val="A0"/>
                <w:rFonts w:ascii="Arial" w:hAnsi="Arial" w:cs="Arial"/>
                <w:color w:val="auto"/>
                <w:sz w:val="20"/>
                <w:szCs w:val="20"/>
              </w:rPr>
              <w:t>95</w:t>
            </w:r>
          </w:p>
        </w:tc>
      </w:tr>
      <w:tr w:rsidR="00582F8B" w14:paraId="69D0E47A" w14:textId="77777777" w:rsidTr="00582F8B">
        <w:tc>
          <w:tcPr>
            <w:tcW w:w="3690" w:type="dxa"/>
          </w:tcPr>
          <w:p w14:paraId="67D52D30" w14:textId="77777777" w:rsidR="00582F8B" w:rsidRPr="00582F8B" w:rsidRDefault="00582F8B" w:rsidP="00582F8B">
            <w:pPr>
              <w:pStyle w:val="Default"/>
              <w:jc w:val="center"/>
              <w:rPr>
                <w:rStyle w:val="A0"/>
                <w:rFonts w:ascii="Arial" w:hAnsi="Arial" w:cs="Arial"/>
                <w:color w:val="auto"/>
                <w:sz w:val="20"/>
                <w:szCs w:val="20"/>
              </w:rPr>
            </w:pPr>
            <w:r w:rsidRPr="00582F8B">
              <w:rPr>
                <w:rStyle w:val="A0"/>
                <w:rFonts w:ascii="Arial" w:hAnsi="Arial" w:cs="Arial"/>
                <w:color w:val="auto"/>
                <w:sz w:val="20"/>
                <w:szCs w:val="20"/>
              </w:rPr>
              <w:t>61-70</w:t>
            </w:r>
          </w:p>
        </w:tc>
        <w:tc>
          <w:tcPr>
            <w:tcW w:w="1710" w:type="dxa"/>
          </w:tcPr>
          <w:p w14:paraId="783379B4" w14:textId="77777777" w:rsidR="00582F8B" w:rsidRPr="00582F8B" w:rsidRDefault="00582F8B" w:rsidP="00582F8B">
            <w:pPr>
              <w:pStyle w:val="Default"/>
              <w:jc w:val="center"/>
              <w:rPr>
                <w:rStyle w:val="A0"/>
                <w:rFonts w:ascii="Arial" w:hAnsi="Arial" w:cs="Arial"/>
                <w:color w:val="auto"/>
                <w:sz w:val="20"/>
                <w:szCs w:val="20"/>
              </w:rPr>
            </w:pPr>
            <w:r w:rsidRPr="00582F8B">
              <w:rPr>
                <w:rStyle w:val="A0"/>
                <w:rFonts w:ascii="Arial" w:hAnsi="Arial" w:cs="Arial"/>
                <w:color w:val="auto"/>
                <w:sz w:val="20"/>
                <w:szCs w:val="20"/>
              </w:rPr>
              <w:t>90</w:t>
            </w:r>
          </w:p>
        </w:tc>
      </w:tr>
    </w:tbl>
    <w:p w14:paraId="0DDA005A" w14:textId="77777777" w:rsidR="00582F8B" w:rsidRDefault="00582F8B" w:rsidP="00582F8B">
      <w:pPr>
        <w:pStyle w:val="Pa1"/>
        <w:jc w:val="both"/>
        <w:rPr>
          <w:rStyle w:val="A0"/>
          <w:rFonts w:ascii="Arial" w:hAnsi="Arial" w:cs="Arial"/>
          <w:color w:val="auto"/>
          <w:sz w:val="20"/>
          <w:szCs w:val="20"/>
        </w:rPr>
      </w:pPr>
    </w:p>
    <w:p w14:paraId="7F4C42F9" w14:textId="77777777"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Percentages shall be report</w:t>
      </w:r>
      <w:r>
        <w:rPr>
          <w:rStyle w:val="A0"/>
          <w:rFonts w:ascii="Arial" w:hAnsi="Arial" w:cs="Arial"/>
          <w:color w:val="auto"/>
          <w:sz w:val="20"/>
          <w:szCs w:val="20"/>
        </w:rPr>
        <w:t>ed to the nearest whole number.</w:t>
      </w:r>
    </w:p>
    <w:p w14:paraId="2BB25932" w14:textId="7398EA72"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Not more than one sample in every five shall have a density less than that specified, and the density of such sample shall be not more than 2 percent below that specified. The Contractor shall maintain the sur</w:t>
      </w:r>
      <w:bookmarkStart w:id="0" w:name="_GoBack"/>
      <w:bookmarkEnd w:id="0"/>
      <w:r w:rsidRPr="00582F8B">
        <w:rPr>
          <w:rStyle w:val="A0"/>
          <w:rFonts w:ascii="Arial" w:hAnsi="Arial" w:cs="Arial"/>
          <w:color w:val="auto"/>
          <w:sz w:val="20"/>
          <w:szCs w:val="20"/>
        </w:rPr>
        <w:t xml:space="preserve">face of each layer during the compaction operations in a manner such that a uniform texture is produced </w:t>
      </w:r>
      <w:r w:rsidRPr="00582F8B">
        <w:rPr>
          <w:rStyle w:val="A0"/>
          <w:rFonts w:ascii="Arial" w:hAnsi="Arial" w:cs="Arial"/>
          <w:color w:val="auto"/>
          <w:sz w:val="20"/>
          <w:szCs w:val="20"/>
        </w:rPr>
        <w:lastRenderedPageBreak/>
        <w:t>and the aggregates are firmly keyed. The Contractor shall uniformly apply water over the base materials during compaction in the amount nece</w:t>
      </w:r>
      <w:r>
        <w:rPr>
          <w:rStyle w:val="A0"/>
          <w:rFonts w:ascii="Arial" w:hAnsi="Arial" w:cs="Arial"/>
          <w:color w:val="auto"/>
          <w:sz w:val="20"/>
          <w:szCs w:val="20"/>
        </w:rPr>
        <w:t>ssary to obtain proper density.</w:t>
      </w:r>
    </w:p>
    <w:p w14:paraId="7414AE0D" w14:textId="77777777"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 xml:space="preserve">Irregularities in the surface shall be corrected by scarifying, remixing, reshaping, and </w:t>
      </w:r>
      <w:proofErr w:type="spellStart"/>
      <w:r w:rsidRPr="00582F8B">
        <w:rPr>
          <w:rStyle w:val="A0"/>
          <w:rFonts w:ascii="Arial" w:hAnsi="Arial" w:cs="Arial"/>
          <w:color w:val="auto"/>
          <w:sz w:val="20"/>
          <w:szCs w:val="20"/>
        </w:rPr>
        <w:t>recompacting</w:t>
      </w:r>
      <w:proofErr w:type="spellEnd"/>
      <w:r w:rsidRPr="00582F8B">
        <w:rPr>
          <w:rStyle w:val="A0"/>
          <w:rFonts w:ascii="Arial" w:hAnsi="Arial" w:cs="Arial"/>
          <w:color w:val="auto"/>
          <w:sz w:val="20"/>
          <w:szCs w:val="20"/>
        </w:rPr>
        <w:t xml:space="preserve"> until a smooth surface is secured. The surface shall thereafter be protected against the loss of fine materials by the addition of moisture, when necessary, and shall be maintained in a satisfactory and smooth condition </w:t>
      </w:r>
      <w:r>
        <w:rPr>
          <w:rStyle w:val="A0"/>
          <w:rFonts w:ascii="Arial" w:hAnsi="Arial" w:cs="Arial"/>
          <w:color w:val="auto"/>
          <w:sz w:val="20"/>
          <w:szCs w:val="20"/>
        </w:rPr>
        <w:t>until accepted by the Engineer.</w:t>
      </w:r>
    </w:p>
    <w:p w14:paraId="58660F39" w14:textId="68320149" w:rsidR="00582F8B" w:rsidRDefault="00CD2ED9" w:rsidP="00582F8B">
      <w:pPr>
        <w:pStyle w:val="Pa1"/>
        <w:spacing w:after="240"/>
        <w:jc w:val="both"/>
        <w:rPr>
          <w:rStyle w:val="A0"/>
          <w:rFonts w:ascii="Arial" w:hAnsi="Arial" w:cs="Arial"/>
          <w:color w:val="auto"/>
          <w:sz w:val="20"/>
          <w:szCs w:val="20"/>
        </w:rPr>
      </w:pPr>
      <w:r w:rsidRPr="00CD2ED9">
        <w:rPr>
          <w:rFonts w:ascii="Arial" w:hAnsi="Arial" w:cs="Arial"/>
          <w:sz w:val="20"/>
          <w:szCs w:val="20"/>
        </w:rPr>
        <w:t xml:space="preserve">The base course will be tested in place for depth and density. The Department will perform field density determinations with a portable nuclear field </w:t>
      </w:r>
      <w:proofErr w:type="gramStart"/>
      <w:r w:rsidRPr="00CD2ED9">
        <w:rPr>
          <w:rFonts w:ascii="Arial" w:hAnsi="Arial" w:cs="Arial"/>
          <w:sz w:val="20"/>
          <w:szCs w:val="20"/>
        </w:rPr>
        <w:t>density testing</w:t>
      </w:r>
      <w:proofErr w:type="gramEnd"/>
      <w:r w:rsidRPr="00CD2ED9">
        <w:rPr>
          <w:rFonts w:ascii="Arial" w:hAnsi="Arial" w:cs="Arial"/>
          <w:sz w:val="20"/>
          <w:szCs w:val="20"/>
        </w:rPr>
        <w:t xml:space="preserve"> device using a density control strip as specified in Section 304 and VTM-10 or by other approved methods as directed by the Engineer.</w:t>
      </w:r>
    </w:p>
    <w:p w14:paraId="5E62EA20" w14:textId="77777777"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The Engineer will base acceptance of the aggregate base course for depth on t</w:t>
      </w:r>
      <w:r>
        <w:rPr>
          <w:rStyle w:val="A0"/>
          <w:rFonts w:ascii="Arial" w:hAnsi="Arial" w:cs="Arial"/>
          <w:color w:val="auto"/>
          <w:sz w:val="20"/>
          <w:szCs w:val="20"/>
        </w:rPr>
        <w:t>he requirements of Section 308.</w:t>
      </w:r>
    </w:p>
    <w:p w14:paraId="13BCC776" w14:textId="77777777" w:rsidR="00582F8B" w:rsidRDefault="00582F8B" w:rsidP="00582F8B">
      <w:pPr>
        <w:pStyle w:val="Pa1"/>
        <w:spacing w:after="240"/>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309.06</w:t>
      </w:r>
      <w:proofErr w:type="gramEnd"/>
      <w:r>
        <w:rPr>
          <w:rStyle w:val="A0"/>
          <w:rFonts w:ascii="Arial" w:hAnsi="Arial" w:cs="Arial"/>
          <w:b/>
          <w:bCs/>
          <w:color w:val="auto"/>
          <w:sz w:val="20"/>
          <w:szCs w:val="20"/>
        </w:rPr>
        <w:t xml:space="preserve"> – Measurement and Payment</w:t>
      </w:r>
    </w:p>
    <w:p w14:paraId="4C3CBAAE" w14:textId="77777777"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b/>
          <w:bCs/>
          <w:color w:val="auto"/>
          <w:sz w:val="20"/>
          <w:szCs w:val="20"/>
        </w:rPr>
        <w:t xml:space="preserve">Aggregate base course </w:t>
      </w:r>
      <w:r w:rsidRPr="00582F8B">
        <w:rPr>
          <w:rStyle w:val="A0"/>
          <w:rFonts w:ascii="Arial" w:hAnsi="Arial" w:cs="Arial"/>
          <w:color w:val="auto"/>
          <w:sz w:val="20"/>
          <w:szCs w:val="20"/>
        </w:rPr>
        <w:t>will be measured in cubic yards or tons, as specified, and will be paid for at the contract unit price per cubic yard or ton for the aggregate type and number specified. When the cubic yard unit is specified in the contract, the quantity will be determined by compacted measurements on the road unless otherwise specified. When the ton unit is specified, the quantity shall be determined in accordance with Section 109.01. The Engineer will make a deduction from the net weight of both truck and rail shipments for moisture in excess of</w:t>
      </w:r>
      <w:r>
        <w:rPr>
          <w:rStyle w:val="A0"/>
          <w:rFonts w:ascii="Arial" w:hAnsi="Arial" w:cs="Arial"/>
          <w:color w:val="auto"/>
          <w:sz w:val="20"/>
          <w:szCs w:val="20"/>
        </w:rPr>
        <w:t xml:space="preserve"> optimum + 2 percentage points.</w:t>
      </w:r>
    </w:p>
    <w:p w14:paraId="50D2839F" w14:textId="77777777"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b/>
          <w:bCs/>
          <w:color w:val="auto"/>
          <w:sz w:val="20"/>
          <w:szCs w:val="20"/>
        </w:rPr>
        <w:t xml:space="preserve">Calcium chloride and sodium chloride </w:t>
      </w:r>
      <w:r w:rsidRPr="00582F8B">
        <w:rPr>
          <w:rStyle w:val="A0"/>
          <w:rFonts w:ascii="Arial" w:hAnsi="Arial" w:cs="Arial"/>
          <w:color w:val="auto"/>
          <w:sz w:val="20"/>
          <w:szCs w:val="20"/>
        </w:rPr>
        <w:t>will be measured in tons and will be paid for at t</w:t>
      </w:r>
      <w:r>
        <w:rPr>
          <w:rStyle w:val="A0"/>
          <w:rFonts w:ascii="Arial" w:hAnsi="Arial" w:cs="Arial"/>
          <w:color w:val="auto"/>
          <w:sz w:val="20"/>
          <w:szCs w:val="20"/>
        </w:rPr>
        <w:t>he contract unit price per ton.</w:t>
      </w:r>
    </w:p>
    <w:p w14:paraId="37103F82" w14:textId="77777777" w:rsidR="00582F8B" w:rsidRDefault="00582F8B" w:rsidP="00582F8B">
      <w:pPr>
        <w:pStyle w:val="Pa1"/>
        <w:spacing w:after="240"/>
        <w:jc w:val="both"/>
        <w:rPr>
          <w:rStyle w:val="A0"/>
          <w:rFonts w:ascii="Arial" w:hAnsi="Arial" w:cs="Arial"/>
          <w:color w:val="auto"/>
          <w:sz w:val="20"/>
          <w:szCs w:val="20"/>
        </w:rPr>
      </w:pPr>
      <w:r w:rsidRPr="00582F8B">
        <w:rPr>
          <w:rStyle w:val="A0"/>
          <w:rFonts w:ascii="Arial" w:hAnsi="Arial" w:cs="Arial"/>
          <w:color w:val="auto"/>
          <w:sz w:val="20"/>
          <w:szCs w:val="20"/>
        </w:rPr>
        <w:t>This price shall include preparing and shaping the subgrade or subbase and shoulders, adding moisture, removing and replacing unstable subgrade or subbase and constructing the base course t</w:t>
      </w:r>
      <w:r>
        <w:rPr>
          <w:rStyle w:val="A0"/>
          <w:rFonts w:ascii="Arial" w:hAnsi="Arial" w:cs="Arial"/>
          <w:color w:val="auto"/>
          <w:sz w:val="20"/>
          <w:szCs w:val="20"/>
        </w:rPr>
        <w:t>hereon, and filling test holes.</w:t>
      </w:r>
    </w:p>
    <w:p w14:paraId="0561226A" w14:textId="77777777" w:rsidR="00582F8B" w:rsidRDefault="00582F8B" w:rsidP="00582F8B">
      <w:pPr>
        <w:pStyle w:val="Pa1"/>
        <w:spacing w:after="240"/>
        <w:jc w:val="both"/>
        <w:rPr>
          <w:rStyle w:val="A0"/>
          <w:rFonts w:ascii="Arial" w:hAnsi="Arial" w:cs="Arial"/>
          <w:color w:val="auto"/>
          <w:sz w:val="20"/>
          <w:szCs w:val="20"/>
        </w:rPr>
      </w:pPr>
      <w:r>
        <w:rPr>
          <w:rStyle w:val="A0"/>
          <w:rFonts w:ascii="Arial" w:hAnsi="Arial" w:cs="Arial"/>
          <w:color w:val="auto"/>
          <w:sz w:val="20"/>
          <w:szCs w:val="20"/>
        </w:rPr>
        <w:t>Payment will be made under:</w:t>
      </w:r>
    </w:p>
    <w:tbl>
      <w:tblPr>
        <w:tblStyle w:val="TableGrid"/>
        <w:tblW w:w="0" w:type="auto"/>
        <w:tblInd w:w="198" w:type="dxa"/>
        <w:tblLook w:val="04A0" w:firstRow="1" w:lastRow="0" w:firstColumn="1" w:lastColumn="0" w:noHBand="0" w:noVBand="1"/>
      </w:tblPr>
      <w:tblGrid>
        <w:gridCol w:w="4486"/>
        <w:gridCol w:w="4666"/>
      </w:tblGrid>
      <w:tr w:rsidR="00582F8B" w14:paraId="2DBD1156" w14:textId="77777777" w:rsidTr="00582F8B">
        <w:tc>
          <w:tcPr>
            <w:tcW w:w="4590" w:type="dxa"/>
          </w:tcPr>
          <w:p w14:paraId="7A71FB38" w14:textId="77777777" w:rsidR="00582F8B" w:rsidRDefault="00582F8B" w:rsidP="00582F8B">
            <w:pPr>
              <w:pStyle w:val="Default"/>
            </w:pPr>
            <w:r w:rsidRPr="00582F8B">
              <w:rPr>
                <w:rStyle w:val="A0"/>
                <w:rFonts w:ascii="Arial" w:hAnsi="Arial" w:cs="Arial"/>
                <w:b/>
                <w:bCs/>
                <w:color w:val="auto"/>
                <w:sz w:val="20"/>
                <w:szCs w:val="20"/>
              </w:rPr>
              <w:t>Pay Item</w:t>
            </w:r>
          </w:p>
        </w:tc>
        <w:tc>
          <w:tcPr>
            <w:tcW w:w="4788" w:type="dxa"/>
          </w:tcPr>
          <w:p w14:paraId="01BF94D3" w14:textId="77777777" w:rsidR="00582F8B" w:rsidRDefault="00582F8B" w:rsidP="00582F8B">
            <w:pPr>
              <w:pStyle w:val="Default"/>
            </w:pPr>
            <w:r w:rsidRPr="00582F8B">
              <w:rPr>
                <w:rStyle w:val="A0"/>
                <w:rFonts w:ascii="Arial" w:hAnsi="Arial" w:cs="Arial"/>
                <w:b/>
                <w:bCs/>
                <w:color w:val="auto"/>
                <w:sz w:val="20"/>
                <w:szCs w:val="20"/>
              </w:rPr>
              <w:t>Pay Unit</w:t>
            </w:r>
          </w:p>
        </w:tc>
      </w:tr>
      <w:tr w:rsidR="00582F8B" w14:paraId="6DB9DD90" w14:textId="77777777" w:rsidTr="00582F8B">
        <w:tc>
          <w:tcPr>
            <w:tcW w:w="4590" w:type="dxa"/>
          </w:tcPr>
          <w:p w14:paraId="494EC9F0" w14:textId="77777777" w:rsidR="00582F8B" w:rsidRDefault="00582F8B" w:rsidP="00582F8B">
            <w:pPr>
              <w:pStyle w:val="Default"/>
            </w:pPr>
            <w:r w:rsidRPr="00582F8B">
              <w:rPr>
                <w:rStyle w:val="A0"/>
                <w:rFonts w:ascii="Arial" w:hAnsi="Arial" w:cs="Arial"/>
                <w:color w:val="auto"/>
                <w:sz w:val="20"/>
                <w:szCs w:val="20"/>
              </w:rPr>
              <w:t>Aggregate base material (Type/no.)</w:t>
            </w:r>
          </w:p>
        </w:tc>
        <w:tc>
          <w:tcPr>
            <w:tcW w:w="4788" w:type="dxa"/>
          </w:tcPr>
          <w:p w14:paraId="6EA5E7C8" w14:textId="77777777" w:rsidR="00582F8B" w:rsidRDefault="00582F8B" w:rsidP="00582F8B">
            <w:pPr>
              <w:pStyle w:val="Default"/>
            </w:pPr>
            <w:r w:rsidRPr="00582F8B">
              <w:rPr>
                <w:rStyle w:val="A0"/>
                <w:rFonts w:ascii="Arial" w:hAnsi="Arial" w:cs="Arial"/>
                <w:color w:val="auto"/>
                <w:sz w:val="20"/>
                <w:szCs w:val="20"/>
              </w:rPr>
              <w:t>Cubic yard or ton</w:t>
            </w:r>
          </w:p>
        </w:tc>
      </w:tr>
      <w:tr w:rsidR="00582F8B" w14:paraId="2C6587A1" w14:textId="77777777" w:rsidTr="00582F8B">
        <w:tc>
          <w:tcPr>
            <w:tcW w:w="4590" w:type="dxa"/>
          </w:tcPr>
          <w:p w14:paraId="0E75CB89" w14:textId="77777777" w:rsidR="00582F8B" w:rsidRDefault="00582F8B" w:rsidP="00582F8B">
            <w:pPr>
              <w:pStyle w:val="Default"/>
            </w:pPr>
            <w:r w:rsidRPr="00582F8B">
              <w:rPr>
                <w:rStyle w:val="A0"/>
                <w:rFonts w:ascii="Arial" w:hAnsi="Arial" w:cs="Arial"/>
                <w:color w:val="auto"/>
                <w:sz w:val="20"/>
                <w:szCs w:val="20"/>
              </w:rPr>
              <w:t>Aggregate material (No.)</w:t>
            </w:r>
          </w:p>
        </w:tc>
        <w:tc>
          <w:tcPr>
            <w:tcW w:w="4788" w:type="dxa"/>
          </w:tcPr>
          <w:p w14:paraId="580E01BD" w14:textId="77777777" w:rsidR="00582F8B" w:rsidRDefault="00582F8B" w:rsidP="00582F8B">
            <w:pPr>
              <w:pStyle w:val="Default"/>
            </w:pPr>
            <w:r w:rsidRPr="00582F8B">
              <w:rPr>
                <w:rStyle w:val="A0"/>
                <w:rFonts w:ascii="Arial" w:hAnsi="Arial" w:cs="Arial"/>
                <w:color w:val="auto"/>
                <w:sz w:val="20"/>
                <w:szCs w:val="20"/>
              </w:rPr>
              <w:t>Cubic yard or ton</w:t>
            </w:r>
          </w:p>
        </w:tc>
      </w:tr>
      <w:tr w:rsidR="00582F8B" w14:paraId="09A11609" w14:textId="77777777" w:rsidTr="00582F8B">
        <w:tc>
          <w:tcPr>
            <w:tcW w:w="4590" w:type="dxa"/>
          </w:tcPr>
          <w:p w14:paraId="4E10E868" w14:textId="77777777" w:rsidR="00582F8B" w:rsidRPr="00582F8B" w:rsidRDefault="00582F8B" w:rsidP="00582F8B">
            <w:pPr>
              <w:pStyle w:val="Default"/>
              <w:rPr>
                <w:rStyle w:val="A0"/>
                <w:rFonts w:ascii="Arial" w:hAnsi="Arial" w:cs="Arial"/>
                <w:color w:val="auto"/>
                <w:sz w:val="20"/>
                <w:szCs w:val="20"/>
              </w:rPr>
            </w:pPr>
            <w:r w:rsidRPr="00582F8B">
              <w:rPr>
                <w:rStyle w:val="A0"/>
                <w:rFonts w:ascii="Arial" w:hAnsi="Arial" w:cs="Arial"/>
                <w:color w:val="auto"/>
                <w:sz w:val="20"/>
                <w:szCs w:val="20"/>
              </w:rPr>
              <w:t>Calcium chloride</w:t>
            </w:r>
          </w:p>
        </w:tc>
        <w:tc>
          <w:tcPr>
            <w:tcW w:w="4788" w:type="dxa"/>
          </w:tcPr>
          <w:p w14:paraId="79B0AB1B" w14:textId="77777777" w:rsidR="00582F8B" w:rsidRPr="00582F8B" w:rsidRDefault="00582F8B" w:rsidP="00582F8B">
            <w:pPr>
              <w:pStyle w:val="Default"/>
              <w:rPr>
                <w:rStyle w:val="A0"/>
                <w:rFonts w:ascii="Arial" w:hAnsi="Arial" w:cs="Arial"/>
                <w:color w:val="auto"/>
                <w:sz w:val="20"/>
                <w:szCs w:val="20"/>
              </w:rPr>
            </w:pPr>
            <w:r w:rsidRPr="00582F8B">
              <w:rPr>
                <w:rStyle w:val="A0"/>
                <w:rFonts w:ascii="Arial" w:hAnsi="Arial" w:cs="Arial"/>
                <w:color w:val="auto"/>
                <w:sz w:val="20"/>
                <w:szCs w:val="20"/>
              </w:rPr>
              <w:t>Ton</w:t>
            </w:r>
          </w:p>
        </w:tc>
      </w:tr>
      <w:tr w:rsidR="00582F8B" w14:paraId="5A351BC6" w14:textId="77777777" w:rsidTr="00582F8B">
        <w:tc>
          <w:tcPr>
            <w:tcW w:w="4590" w:type="dxa"/>
          </w:tcPr>
          <w:p w14:paraId="03D7080D" w14:textId="77777777" w:rsidR="00582F8B" w:rsidRPr="00582F8B" w:rsidRDefault="00582F8B" w:rsidP="00582F8B">
            <w:pPr>
              <w:pStyle w:val="Default"/>
              <w:rPr>
                <w:rStyle w:val="A0"/>
                <w:rFonts w:ascii="Arial" w:hAnsi="Arial" w:cs="Arial"/>
                <w:color w:val="auto"/>
                <w:sz w:val="20"/>
                <w:szCs w:val="20"/>
              </w:rPr>
            </w:pPr>
            <w:r w:rsidRPr="00582F8B">
              <w:rPr>
                <w:rStyle w:val="A0"/>
                <w:rFonts w:ascii="Arial" w:hAnsi="Arial" w:cs="Arial"/>
                <w:color w:val="auto"/>
                <w:sz w:val="20"/>
                <w:szCs w:val="20"/>
              </w:rPr>
              <w:t>Sodium chloride</w:t>
            </w:r>
          </w:p>
        </w:tc>
        <w:tc>
          <w:tcPr>
            <w:tcW w:w="4788" w:type="dxa"/>
          </w:tcPr>
          <w:p w14:paraId="6B5C97B6" w14:textId="77777777" w:rsidR="00582F8B" w:rsidRPr="00582F8B" w:rsidRDefault="00582F8B" w:rsidP="00582F8B">
            <w:pPr>
              <w:pStyle w:val="Default"/>
              <w:rPr>
                <w:rStyle w:val="A0"/>
                <w:rFonts w:ascii="Arial" w:hAnsi="Arial" w:cs="Arial"/>
                <w:color w:val="auto"/>
                <w:sz w:val="20"/>
                <w:szCs w:val="20"/>
              </w:rPr>
            </w:pPr>
            <w:r w:rsidRPr="00582F8B">
              <w:rPr>
                <w:rStyle w:val="A0"/>
                <w:rFonts w:ascii="Arial" w:hAnsi="Arial" w:cs="Arial"/>
                <w:color w:val="auto"/>
                <w:sz w:val="20"/>
                <w:szCs w:val="20"/>
              </w:rPr>
              <w:t>Ton</w:t>
            </w:r>
          </w:p>
        </w:tc>
      </w:tr>
    </w:tbl>
    <w:p w14:paraId="4277621B" w14:textId="77777777" w:rsidR="002C3456" w:rsidRPr="00582F8B" w:rsidRDefault="002C3456" w:rsidP="00582F8B">
      <w:pPr>
        <w:pStyle w:val="Default"/>
        <w:rPr>
          <w:rFonts w:ascii="Arial" w:hAnsi="Arial" w:cs="Arial"/>
          <w:sz w:val="20"/>
          <w:szCs w:val="20"/>
        </w:rPr>
      </w:pPr>
    </w:p>
    <w:sectPr w:rsidR="002C3456" w:rsidRPr="00582F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7A32127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A45FB"/>
    <w:rsid w:val="002C3456"/>
    <w:rsid w:val="002D5847"/>
    <w:rsid w:val="00311099"/>
    <w:rsid w:val="00582F8B"/>
    <w:rsid w:val="006777C1"/>
    <w:rsid w:val="00743FC4"/>
    <w:rsid w:val="007F62B5"/>
    <w:rsid w:val="008C292B"/>
    <w:rsid w:val="00BC064E"/>
    <w:rsid w:val="00CD2ED9"/>
    <w:rsid w:val="00F01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C2D16"/>
  <w15:docId w15:val="{652A664C-7B93-4DF9-BF6E-B627FD942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582F8B"/>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582F8B"/>
    <w:pPr>
      <w:spacing w:line="241" w:lineRule="atLeast"/>
    </w:pPr>
    <w:rPr>
      <w:rFonts w:cstheme="minorBidi"/>
      <w:color w:val="auto"/>
    </w:rPr>
  </w:style>
  <w:style w:type="character" w:customStyle="1" w:styleId="A2">
    <w:name w:val="A2"/>
    <w:uiPriority w:val="99"/>
    <w:rsid w:val="00582F8B"/>
    <w:rPr>
      <w:rFonts w:cs="TimesNewRomanPS"/>
      <w:b/>
      <w:bCs/>
      <w:color w:val="000000"/>
      <w:sz w:val="20"/>
      <w:szCs w:val="20"/>
    </w:rPr>
  </w:style>
  <w:style w:type="paragraph" w:customStyle="1" w:styleId="Pa1">
    <w:name w:val="Pa1"/>
    <w:basedOn w:val="Default"/>
    <w:next w:val="Default"/>
    <w:uiPriority w:val="99"/>
    <w:rsid w:val="00582F8B"/>
    <w:pPr>
      <w:spacing w:line="241" w:lineRule="atLeast"/>
    </w:pPr>
    <w:rPr>
      <w:rFonts w:cstheme="minorBidi"/>
      <w:color w:val="auto"/>
    </w:rPr>
  </w:style>
  <w:style w:type="character" w:customStyle="1" w:styleId="A0">
    <w:name w:val="A0"/>
    <w:uiPriority w:val="99"/>
    <w:rsid w:val="00582F8B"/>
    <w:rPr>
      <w:rFonts w:cs="TimesNewRomanPS"/>
      <w:color w:val="000000"/>
      <w:sz w:val="18"/>
      <w:szCs w:val="18"/>
    </w:rPr>
  </w:style>
  <w:style w:type="paragraph" w:customStyle="1" w:styleId="Pa2">
    <w:name w:val="Pa2"/>
    <w:basedOn w:val="Default"/>
    <w:next w:val="Default"/>
    <w:uiPriority w:val="99"/>
    <w:rsid w:val="00582F8B"/>
    <w:pPr>
      <w:spacing w:line="241" w:lineRule="atLeast"/>
    </w:pPr>
    <w:rPr>
      <w:rFonts w:cstheme="minorBidi"/>
      <w:color w:val="auto"/>
    </w:rPr>
  </w:style>
  <w:style w:type="paragraph" w:customStyle="1" w:styleId="Pa3">
    <w:name w:val="Pa3"/>
    <w:basedOn w:val="Default"/>
    <w:next w:val="Default"/>
    <w:uiPriority w:val="99"/>
    <w:rsid w:val="00582F8B"/>
    <w:pPr>
      <w:spacing w:line="241" w:lineRule="atLeast"/>
    </w:pPr>
    <w:rPr>
      <w:rFonts w:cstheme="minorBidi"/>
      <w:color w:val="auto"/>
    </w:rPr>
  </w:style>
  <w:style w:type="paragraph" w:customStyle="1" w:styleId="Pa6">
    <w:name w:val="Pa6"/>
    <w:basedOn w:val="Default"/>
    <w:next w:val="Default"/>
    <w:uiPriority w:val="99"/>
    <w:rsid w:val="00582F8B"/>
    <w:pPr>
      <w:spacing w:line="241" w:lineRule="atLeast"/>
    </w:pPr>
    <w:rPr>
      <w:rFonts w:cstheme="minorBidi"/>
      <w:color w:val="auto"/>
    </w:rPr>
  </w:style>
  <w:style w:type="paragraph" w:customStyle="1" w:styleId="Pa5">
    <w:name w:val="Pa5"/>
    <w:basedOn w:val="Default"/>
    <w:next w:val="Default"/>
    <w:uiPriority w:val="99"/>
    <w:rsid w:val="00582F8B"/>
    <w:pPr>
      <w:spacing w:line="241" w:lineRule="atLeast"/>
    </w:pPr>
    <w:rPr>
      <w:rFonts w:cstheme="minorBidi"/>
      <w:color w:val="auto"/>
    </w:rPr>
  </w:style>
  <w:style w:type="table" w:styleId="TableGrid">
    <w:name w:val="Table Grid"/>
    <w:basedOn w:val="TableNormal"/>
    <w:uiPriority w:val="59"/>
    <w:rsid w:val="00582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BK309-002020-00</Specification_x0020_Number>
    <Status xmlns="2328571d-b9d5-471b-8d96-2ccb743ec3d4">Active</Status>
    <Usage_x0020_Guidelines xmlns="2328571d-b9d5-471b-8d96-2ccb743ec3d4">SS309-002016-01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309</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D93899-60F1-424A-8886-6E1DAE1C710B}"/>
</file>

<file path=customXml/itemProps2.xml><?xml version="1.0" encoding="utf-8"?>
<ds:datastoreItem xmlns:ds="http://schemas.openxmlformats.org/officeDocument/2006/customXml" ds:itemID="{52E1414A-736F-445E-9782-7C75891830BA}"/>
</file>

<file path=customXml/itemProps3.xml><?xml version="1.0" encoding="utf-8"?>
<ds:datastoreItem xmlns:ds="http://schemas.openxmlformats.org/officeDocument/2006/customXml" ds:itemID="{EF576950-4F92-43DC-8974-933F5473F8BB}"/>
</file>

<file path=docProps/app.xml><?xml version="1.0" encoding="utf-8"?>
<Properties xmlns="http://schemas.openxmlformats.org/officeDocument/2006/extended-properties" xmlns:vt="http://schemas.openxmlformats.org/officeDocument/2006/docPropsVTypes">
  <Template>Normal</Template>
  <TotalTime>1</TotalTime>
  <Pages>2</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Aggregate Base Course</vt:lpstr>
    </vt:vector>
  </TitlesOfParts>
  <Company>Virginia IT Infrastructure Partnership</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Aggregate Base Course</dc:title>
  <dc:creator>douglas.mcavoy</dc:creator>
  <cp:lastModifiedBy>Changes</cp:lastModifiedBy>
  <cp:revision>3</cp:revision>
  <dcterms:created xsi:type="dcterms:W3CDTF">2020-01-02T15:11:00Z</dcterms:created>
  <dcterms:modified xsi:type="dcterms:W3CDTF">2020-01-02T15:11:00Z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7000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e1d2bb34-e5c9-4060-bbeb-714adcef7abd</vt:lpwstr>
  </property>
  <property fmtid="{D5CDD505-2E9C-101B-9397-08002B2CF9AE}" pid="6" name="xd_Signature">
    <vt:bool>false</vt:bool>
  </property>
  <property fmtid="{D5CDD505-2E9C-101B-9397-08002B2CF9AE}" pid="7" name="List">
    <vt:lpwstr>SPEC100</vt:lpwstr>
  </property>
  <property fmtid="{D5CDD505-2E9C-101B-9397-08002B2CF9AE}" pid="8" name="xd_ProgID">
    <vt:lpwstr/>
  </property>
  <property fmtid="{D5CDD505-2E9C-101B-9397-08002B2CF9AE}" pid="9" name="_dlc_DocId">
    <vt:lpwstr>/insidevdot/div/sc/Design/Specs/Book|e1d2bb34-e5c9-4060-bbeb-714adcef7abd</vt:lpwstr>
  </property>
  <property fmtid="{D5CDD505-2E9C-101B-9397-08002B2CF9AE}" pid="10" name="_dlc_DocIdUrl">
    <vt:lpwstr>https://insidevdot.cov.virginia.gov/div/sc/Design/Specs/Book/_layouts/DocIdRedir.aspx?ID=%2finsidevdot%2fdiv%2fsc%2fDesign%2fSpecs%2fBook%7ce1d2bb34-e5c9-4060-bbeb-714adcef7abd, /insidevdot/div/sc/Design/Specs/Book|e1d2bb34-e5c9-4060-bbeb-714adcef7abd</vt:lpwstr>
  </property>
  <property fmtid="{D5CDD505-2E9C-101B-9397-08002B2CF9AE}" pid="11" name="Locked">
    <vt:lpwstr>N</vt:lpwstr>
  </property>
  <property fmtid="{D5CDD505-2E9C-101B-9397-08002B2CF9AE}" pid="12" name="TemplateUrl">
    <vt:lpwstr/>
  </property>
  <property fmtid="{D5CDD505-2E9C-101B-9397-08002B2CF9AE}" pid="13" name="Specification Number">
    <vt:lpwstr>BK309-002016-00</vt:lpwstr>
  </property>
  <property fmtid="{D5CDD505-2E9C-101B-9397-08002B2CF9AE}" pid="14" name="Availability Date">
    <vt:filetime>2016-07-01T04:00:00Z</vt:filetime>
  </property>
  <property fmtid="{D5CDD505-2E9C-101B-9397-08002B2CF9AE}" pid="15" name="Sect">
    <vt:lpwstr>309</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III</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