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1499D" w14:textId="77777777" w:rsidR="00527F65" w:rsidRPr="00527F65" w:rsidRDefault="00527F65" w:rsidP="00527F65">
      <w:pPr>
        <w:pStyle w:val="Pa0"/>
        <w:spacing w:after="240"/>
        <w:jc w:val="center"/>
        <w:outlineLvl w:val="0"/>
        <w:rPr>
          <w:rFonts w:ascii="Arial" w:hAnsi="Arial" w:cs="Arial"/>
          <w:sz w:val="20"/>
          <w:szCs w:val="20"/>
        </w:rPr>
      </w:pPr>
      <w:r>
        <w:rPr>
          <w:rStyle w:val="A2"/>
          <w:rFonts w:ascii="Arial" w:hAnsi="Arial" w:cs="Arial"/>
        </w:rPr>
        <w:t xml:space="preserve">SECTION 311 – </w:t>
      </w:r>
      <w:r w:rsidRPr="00527F65">
        <w:rPr>
          <w:rStyle w:val="A2"/>
          <w:rFonts w:ascii="Arial" w:hAnsi="Arial" w:cs="Arial"/>
        </w:rPr>
        <w:t xml:space="preserve">PRIME COAT </w:t>
      </w:r>
    </w:p>
    <w:p w14:paraId="2BD1C761" w14:textId="77777777" w:rsidR="00527F65" w:rsidRPr="00527F65" w:rsidRDefault="00527F65" w:rsidP="00527F65">
      <w:pPr>
        <w:pStyle w:val="Pa1"/>
        <w:spacing w:after="240"/>
        <w:jc w:val="both"/>
        <w:outlineLvl w:val="1"/>
        <w:rPr>
          <w:rFonts w:ascii="Arial" w:hAnsi="Arial" w:cs="Arial"/>
          <w:sz w:val="20"/>
          <w:szCs w:val="20"/>
        </w:rPr>
      </w:pPr>
      <w:r>
        <w:rPr>
          <w:rStyle w:val="A0"/>
          <w:rFonts w:ascii="Arial" w:hAnsi="Arial" w:cs="Arial"/>
          <w:b/>
          <w:bCs/>
          <w:color w:val="auto"/>
          <w:sz w:val="20"/>
          <w:szCs w:val="20"/>
        </w:rPr>
        <w:t xml:space="preserve">311.01 – </w:t>
      </w:r>
      <w:r w:rsidRPr="00527F65">
        <w:rPr>
          <w:rStyle w:val="A0"/>
          <w:rFonts w:ascii="Arial" w:hAnsi="Arial" w:cs="Arial"/>
          <w:b/>
          <w:bCs/>
          <w:color w:val="auto"/>
          <w:sz w:val="20"/>
          <w:szCs w:val="20"/>
        </w:rPr>
        <w:t xml:space="preserve">Description </w:t>
      </w:r>
    </w:p>
    <w:p w14:paraId="29DAA8AF" w14:textId="77777777" w:rsidR="00527F65" w:rsidRDefault="00527F65" w:rsidP="00527F65">
      <w:pPr>
        <w:pStyle w:val="Pa1"/>
        <w:spacing w:after="240"/>
        <w:jc w:val="both"/>
        <w:rPr>
          <w:rStyle w:val="A0"/>
          <w:rFonts w:ascii="Arial" w:hAnsi="Arial" w:cs="Arial"/>
          <w:color w:val="auto"/>
          <w:sz w:val="20"/>
          <w:szCs w:val="20"/>
        </w:rPr>
      </w:pPr>
      <w:r w:rsidRPr="00527F65">
        <w:rPr>
          <w:rStyle w:val="A0"/>
          <w:rFonts w:ascii="Arial" w:hAnsi="Arial" w:cs="Arial"/>
          <w:color w:val="auto"/>
          <w:sz w:val="20"/>
          <w:szCs w:val="20"/>
        </w:rPr>
        <w:t xml:space="preserve">This work shall consist of preparing and treating an existing surface with asphalt, and cover material if required, in accordance with these Specifications and in conformity with the lines shown on the plans or </w:t>
      </w:r>
      <w:r>
        <w:rPr>
          <w:rStyle w:val="A0"/>
          <w:rFonts w:ascii="Arial" w:hAnsi="Arial" w:cs="Arial"/>
          <w:color w:val="auto"/>
          <w:sz w:val="20"/>
          <w:szCs w:val="20"/>
        </w:rPr>
        <w:t>as established by the Engineer.</w:t>
      </w:r>
    </w:p>
    <w:p w14:paraId="44861040" w14:textId="77777777" w:rsidR="00527F65" w:rsidRDefault="00527F65" w:rsidP="00527F65">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311.02—Materials</w:t>
      </w:r>
    </w:p>
    <w:p w14:paraId="662A3672" w14:textId="77777777" w:rsidR="00527F65" w:rsidRDefault="00527F65" w:rsidP="00527F65">
      <w:pPr>
        <w:pStyle w:val="Pa1"/>
        <w:numPr>
          <w:ilvl w:val="0"/>
          <w:numId w:val="3"/>
        </w:numPr>
        <w:spacing w:after="240"/>
        <w:jc w:val="both"/>
        <w:rPr>
          <w:rStyle w:val="A0"/>
          <w:rFonts w:ascii="Arial" w:hAnsi="Arial" w:cs="Arial"/>
          <w:color w:val="auto"/>
          <w:sz w:val="20"/>
          <w:szCs w:val="20"/>
        </w:rPr>
      </w:pPr>
      <w:r w:rsidRPr="00527F65">
        <w:rPr>
          <w:rStyle w:val="A0"/>
          <w:rFonts w:ascii="Arial" w:hAnsi="Arial" w:cs="Arial"/>
          <w:b/>
          <w:bCs/>
          <w:color w:val="auto"/>
          <w:sz w:val="20"/>
          <w:szCs w:val="20"/>
        </w:rPr>
        <w:t xml:space="preserve">Asphalt </w:t>
      </w:r>
      <w:r w:rsidRPr="00527F65">
        <w:rPr>
          <w:rStyle w:val="A0"/>
          <w:rFonts w:ascii="Arial" w:hAnsi="Arial" w:cs="Arial"/>
          <w:color w:val="auto"/>
          <w:sz w:val="20"/>
          <w:szCs w:val="20"/>
        </w:rPr>
        <w:t>may be changed one viscosity grade by the Engineer during construction at no change in the contract unit price. Asphalt shall confor</w:t>
      </w:r>
      <w:r>
        <w:rPr>
          <w:rStyle w:val="A0"/>
          <w:rFonts w:ascii="Arial" w:hAnsi="Arial" w:cs="Arial"/>
          <w:color w:val="auto"/>
          <w:sz w:val="20"/>
          <w:szCs w:val="20"/>
        </w:rPr>
        <w:t>m to Section 210 as applicable.</w:t>
      </w:r>
    </w:p>
    <w:p w14:paraId="7C77B363" w14:textId="77777777" w:rsidR="00527F65" w:rsidRDefault="00527F65" w:rsidP="00527F65">
      <w:pPr>
        <w:pStyle w:val="Pa1"/>
        <w:numPr>
          <w:ilvl w:val="0"/>
          <w:numId w:val="3"/>
        </w:numPr>
        <w:spacing w:after="240"/>
        <w:jc w:val="both"/>
        <w:rPr>
          <w:rStyle w:val="A0"/>
          <w:rFonts w:ascii="Arial" w:hAnsi="Arial" w:cs="Arial"/>
          <w:color w:val="auto"/>
          <w:sz w:val="20"/>
          <w:szCs w:val="20"/>
        </w:rPr>
      </w:pPr>
      <w:r w:rsidRPr="00527F65">
        <w:rPr>
          <w:rStyle w:val="A0"/>
          <w:rFonts w:ascii="Arial" w:hAnsi="Arial" w:cs="Arial"/>
          <w:b/>
          <w:bCs/>
          <w:color w:val="auto"/>
          <w:sz w:val="20"/>
          <w:szCs w:val="20"/>
        </w:rPr>
        <w:t xml:space="preserve">Cover material </w:t>
      </w:r>
      <w:r w:rsidRPr="00527F65">
        <w:rPr>
          <w:rStyle w:val="A0"/>
          <w:rFonts w:ascii="Arial" w:hAnsi="Arial" w:cs="Arial"/>
          <w:color w:val="auto"/>
          <w:sz w:val="20"/>
          <w:szCs w:val="20"/>
        </w:rPr>
        <w:t>shall conform to Section 202 or Section 203 a</w:t>
      </w:r>
      <w:r>
        <w:rPr>
          <w:rStyle w:val="A0"/>
          <w:rFonts w:ascii="Arial" w:hAnsi="Arial" w:cs="Arial"/>
          <w:color w:val="auto"/>
          <w:sz w:val="20"/>
          <w:szCs w:val="20"/>
        </w:rPr>
        <w:t>s applicable. Lightweight aggre</w:t>
      </w:r>
      <w:r w:rsidRPr="00527F65">
        <w:rPr>
          <w:rStyle w:val="A0"/>
          <w:rFonts w:ascii="Arial" w:hAnsi="Arial" w:cs="Arial"/>
          <w:color w:val="auto"/>
          <w:sz w:val="20"/>
          <w:szCs w:val="20"/>
        </w:rPr>
        <w:t>gate shall conform to Section 206. The Engineer will not permit cover material to be hauled directly from a washing plant</w:t>
      </w:r>
      <w:r>
        <w:rPr>
          <w:rStyle w:val="A0"/>
          <w:rFonts w:ascii="Arial" w:hAnsi="Arial" w:cs="Arial"/>
          <w:color w:val="auto"/>
          <w:sz w:val="20"/>
          <w:szCs w:val="20"/>
        </w:rPr>
        <w:t xml:space="preserve"> for immediate use in the work.</w:t>
      </w:r>
    </w:p>
    <w:p w14:paraId="1729E676" w14:textId="77777777" w:rsidR="00527F65" w:rsidRDefault="00527F65" w:rsidP="00527F65">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311.03 – Procedures</w:t>
      </w:r>
    </w:p>
    <w:p w14:paraId="3D7AFC55" w14:textId="6EAF7287" w:rsidR="00527F65" w:rsidRDefault="00527F65" w:rsidP="00527F65">
      <w:pPr>
        <w:pStyle w:val="Pa1"/>
        <w:spacing w:after="240"/>
        <w:jc w:val="both"/>
        <w:rPr>
          <w:rStyle w:val="A0"/>
          <w:rFonts w:ascii="Arial" w:hAnsi="Arial" w:cs="Arial"/>
          <w:i/>
          <w:iCs/>
          <w:color w:val="auto"/>
          <w:sz w:val="20"/>
          <w:szCs w:val="20"/>
        </w:rPr>
      </w:pPr>
      <w:r w:rsidRPr="00527F65">
        <w:rPr>
          <w:rStyle w:val="A0"/>
          <w:rFonts w:ascii="Arial" w:hAnsi="Arial" w:cs="Arial"/>
          <w:color w:val="auto"/>
          <w:sz w:val="20"/>
          <w:szCs w:val="20"/>
        </w:rPr>
        <w:t xml:space="preserve">The rates of application of materials shall be determined in accordance with the method described in Education Series No. 12 of the Asphalt Institute entitled </w:t>
      </w:r>
      <w:r w:rsidRPr="00527F65">
        <w:rPr>
          <w:rStyle w:val="A0"/>
          <w:rFonts w:ascii="Arial" w:hAnsi="Arial" w:cs="Arial"/>
          <w:i/>
          <w:iCs/>
          <w:color w:val="auto"/>
          <w:sz w:val="20"/>
          <w:szCs w:val="20"/>
        </w:rPr>
        <w:t>Asphalt Surface Trea</w:t>
      </w:r>
      <w:r>
        <w:rPr>
          <w:rStyle w:val="A0"/>
          <w:rFonts w:ascii="Arial" w:hAnsi="Arial" w:cs="Arial"/>
          <w:i/>
          <w:iCs/>
          <w:color w:val="auto"/>
          <w:sz w:val="20"/>
          <w:szCs w:val="20"/>
        </w:rPr>
        <w:t>tments Construction Techniques.</w:t>
      </w:r>
    </w:p>
    <w:p w14:paraId="322F1CF3" w14:textId="5BC992D0" w:rsidR="00527F65" w:rsidRDefault="00527F65" w:rsidP="00527F65">
      <w:pPr>
        <w:pStyle w:val="Pa1"/>
        <w:spacing w:after="240"/>
        <w:jc w:val="both"/>
        <w:rPr>
          <w:rStyle w:val="A0"/>
          <w:rFonts w:ascii="Arial" w:hAnsi="Arial" w:cs="Arial"/>
          <w:color w:val="auto"/>
          <w:sz w:val="20"/>
          <w:szCs w:val="20"/>
        </w:rPr>
      </w:pPr>
      <w:r w:rsidRPr="00527F65">
        <w:rPr>
          <w:rStyle w:val="A0"/>
          <w:rFonts w:ascii="Arial" w:hAnsi="Arial" w:cs="Arial"/>
          <w:color w:val="auto"/>
          <w:sz w:val="20"/>
          <w:szCs w:val="20"/>
        </w:rPr>
        <w:t>The weather limitations of Section 314.03 shall apply to asphalt prime coat work. When asphalt is to be used as a cover for cement stabilization or as a primer for asphalt concrete, the weather limitations specified for these par</w:t>
      </w:r>
      <w:r>
        <w:rPr>
          <w:rStyle w:val="A0"/>
          <w:rFonts w:ascii="Arial" w:hAnsi="Arial" w:cs="Arial"/>
          <w:color w:val="auto"/>
          <w:sz w:val="20"/>
          <w:szCs w:val="20"/>
        </w:rPr>
        <w:t>ticular operations shall apply.</w:t>
      </w:r>
    </w:p>
    <w:p w14:paraId="54766879" w14:textId="77777777" w:rsidR="00527F65" w:rsidRDefault="00527F65" w:rsidP="00527F65">
      <w:pPr>
        <w:pStyle w:val="Pa1"/>
        <w:spacing w:after="240"/>
        <w:jc w:val="both"/>
        <w:rPr>
          <w:rStyle w:val="A0"/>
          <w:rFonts w:ascii="Arial" w:hAnsi="Arial" w:cs="Arial"/>
          <w:color w:val="auto"/>
          <w:sz w:val="20"/>
          <w:szCs w:val="20"/>
        </w:rPr>
      </w:pPr>
      <w:r w:rsidRPr="00527F65">
        <w:rPr>
          <w:rStyle w:val="A0"/>
          <w:rFonts w:ascii="Arial" w:hAnsi="Arial" w:cs="Arial"/>
          <w:color w:val="auto"/>
          <w:sz w:val="20"/>
          <w:szCs w:val="20"/>
        </w:rPr>
        <w:t>Equipment for heating and applying asphalt and cover material shall conform to Section 314.04. The maximum application temperature of the liquid asphalt shall conform to Table III-1 in Sec</w:t>
      </w:r>
      <w:r>
        <w:rPr>
          <w:rStyle w:val="A0"/>
          <w:rFonts w:ascii="Arial" w:hAnsi="Arial" w:cs="Arial"/>
          <w:color w:val="auto"/>
          <w:sz w:val="20"/>
          <w:szCs w:val="20"/>
        </w:rPr>
        <w:t>tion 310.03.</w:t>
      </w:r>
    </w:p>
    <w:p w14:paraId="5D92CDC3" w14:textId="77777777" w:rsidR="00527F65" w:rsidRDefault="00527F65" w:rsidP="00527F65">
      <w:pPr>
        <w:pStyle w:val="Pa1"/>
        <w:spacing w:after="240"/>
        <w:jc w:val="both"/>
        <w:rPr>
          <w:rStyle w:val="A0"/>
          <w:rFonts w:ascii="Arial" w:hAnsi="Arial" w:cs="Arial"/>
          <w:color w:val="auto"/>
          <w:sz w:val="20"/>
          <w:szCs w:val="20"/>
        </w:rPr>
      </w:pPr>
      <w:r w:rsidRPr="00527F65">
        <w:rPr>
          <w:rStyle w:val="A0"/>
          <w:rFonts w:ascii="Arial" w:hAnsi="Arial" w:cs="Arial"/>
          <w:color w:val="auto"/>
          <w:sz w:val="20"/>
          <w:szCs w:val="20"/>
        </w:rPr>
        <w:t>The Contractor shall shape the surface to be primed to the required grade and section; render it free from ruts, corrugations, segregated material, or other irregularities; and uniformly compact it pri</w:t>
      </w:r>
      <w:r>
        <w:rPr>
          <w:rStyle w:val="A0"/>
          <w:rFonts w:ascii="Arial" w:hAnsi="Arial" w:cs="Arial"/>
          <w:color w:val="auto"/>
          <w:sz w:val="20"/>
          <w:szCs w:val="20"/>
        </w:rPr>
        <w:t>or to the application of prime.</w:t>
      </w:r>
    </w:p>
    <w:p w14:paraId="63EC8994" w14:textId="77777777" w:rsidR="00527F65" w:rsidRDefault="00527F65" w:rsidP="00527F65">
      <w:pPr>
        <w:pStyle w:val="Pa1"/>
        <w:spacing w:after="240"/>
        <w:jc w:val="both"/>
        <w:rPr>
          <w:rStyle w:val="A0"/>
          <w:rFonts w:ascii="Arial" w:hAnsi="Arial" w:cs="Arial"/>
          <w:color w:val="auto"/>
          <w:sz w:val="20"/>
          <w:szCs w:val="20"/>
        </w:rPr>
      </w:pPr>
      <w:r w:rsidRPr="00527F65">
        <w:rPr>
          <w:rStyle w:val="A0"/>
          <w:rFonts w:ascii="Arial" w:hAnsi="Arial" w:cs="Arial"/>
          <w:color w:val="auto"/>
          <w:sz w:val="20"/>
          <w:szCs w:val="20"/>
        </w:rPr>
        <w:t>Delays in priming may necessitate reprocessing or reshaping to provi</w:t>
      </w:r>
      <w:r>
        <w:rPr>
          <w:rStyle w:val="A0"/>
          <w:rFonts w:ascii="Arial" w:hAnsi="Arial" w:cs="Arial"/>
          <w:color w:val="auto"/>
          <w:sz w:val="20"/>
          <w:szCs w:val="20"/>
        </w:rPr>
        <w:t>de a smooth, compacted surface.</w:t>
      </w:r>
    </w:p>
    <w:p w14:paraId="0466E782" w14:textId="5F121372" w:rsidR="00527F65" w:rsidRDefault="00527F65" w:rsidP="00527F65">
      <w:pPr>
        <w:pStyle w:val="Pa1"/>
        <w:spacing w:after="240"/>
        <w:jc w:val="both"/>
        <w:rPr>
          <w:rStyle w:val="A0"/>
          <w:rFonts w:ascii="Arial" w:hAnsi="Arial" w:cs="Arial"/>
          <w:color w:val="auto"/>
          <w:sz w:val="20"/>
          <w:szCs w:val="20"/>
        </w:rPr>
      </w:pPr>
      <w:r w:rsidRPr="00527F65">
        <w:rPr>
          <w:rStyle w:val="A0"/>
          <w:rFonts w:ascii="Arial" w:hAnsi="Arial" w:cs="Arial"/>
          <w:color w:val="auto"/>
          <w:sz w:val="20"/>
          <w:szCs w:val="20"/>
        </w:rPr>
        <w:t>The Contractor shall apply asphalt by means of a pressure distributor in a uniform continuous spread. When traffic is being maintained, not more than 1/2 the width of the section shall be treated in one appli</w:t>
      </w:r>
      <w:bookmarkStart w:id="0" w:name="_GoBack"/>
      <w:bookmarkEnd w:id="0"/>
      <w:r w:rsidRPr="00527F65">
        <w:rPr>
          <w:rStyle w:val="A0"/>
          <w:rFonts w:ascii="Arial" w:hAnsi="Arial" w:cs="Arial"/>
          <w:color w:val="auto"/>
          <w:sz w:val="20"/>
          <w:szCs w:val="20"/>
        </w:rPr>
        <w:t>cation. The Contractor shall exercise care so that the application of asphalt at junctions of spreads is not in excess of the specified amount. The Contractor shall remove excess asphalt from the surface by means of a squeegee. Skipped areas or d</w:t>
      </w:r>
      <w:r>
        <w:rPr>
          <w:rStyle w:val="A0"/>
          <w:rFonts w:ascii="Arial" w:hAnsi="Arial" w:cs="Arial"/>
          <w:color w:val="auto"/>
          <w:sz w:val="20"/>
          <w:szCs w:val="20"/>
        </w:rPr>
        <w:t>eficiencies shall be corrected.</w:t>
      </w:r>
    </w:p>
    <w:p w14:paraId="7ACC198D" w14:textId="77777777" w:rsidR="00527F65" w:rsidRDefault="00527F65" w:rsidP="00527F65">
      <w:pPr>
        <w:pStyle w:val="Pa1"/>
        <w:spacing w:after="240"/>
        <w:jc w:val="both"/>
        <w:rPr>
          <w:rStyle w:val="A0"/>
          <w:rFonts w:ascii="Arial" w:hAnsi="Arial" w:cs="Arial"/>
          <w:color w:val="auto"/>
          <w:sz w:val="20"/>
          <w:szCs w:val="20"/>
        </w:rPr>
      </w:pPr>
      <w:r w:rsidRPr="00527F65">
        <w:rPr>
          <w:rStyle w:val="A0"/>
          <w:rFonts w:ascii="Arial" w:hAnsi="Arial" w:cs="Arial"/>
          <w:color w:val="auto"/>
          <w:sz w:val="20"/>
          <w:szCs w:val="20"/>
        </w:rPr>
        <w:t>The Contractor shall exercise care during the application of asphalt to prevent spattering adjacent items. The distributor shall not be cleaned or discharged into ditches or borrow pits, onto shoulders, or along the right of way. When not in use, the Contractor shall ensure equipment is parked so that the spray bar or mechanism will not drip asphalt on t</w:t>
      </w:r>
      <w:r>
        <w:rPr>
          <w:rStyle w:val="A0"/>
          <w:rFonts w:ascii="Arial" w:hAnsi="Arial" w:cs="Arial"/>
          <w:color w:val="auto"/>
          <w:sz w:val="20"/>
          <w:szCs w:val="20"/>
        </w:rPr>
        <w:t>he surface of the traveled way.</w:t>
      </w:r>
    </w:p>
    <w:p w14:paraId="02FD2053" w14:textId="77777777" w:rsidR="00527F65" w:rsidRDefault="00527F65" w:rsidP="00527F65">
      <w:pPr>
        <w:pStyle w:val="Pa1"/>
        <w:spacing w:after="240"/>
        <w:jc w:val="both"/>
        <w:rPr>
          <w:rStyle w:val="A0"/>
          <w:rFonts w:ascii="Arial" w:hAnsi="Arial" w:cs="Arial"/>
          <w:color w:val="auto"/>
          <w:sz w:val="20"/>
          <w:szCs w:val="20"/>
        </w:rPr>
      </w:pPr>
      <w:r w:rsidRPr="00527F65">
        <w:rPr>
          <w:rStyle w:val="A0"/>
          <w:rFonts w:ascii="Arial" w:hAnsi="Arial" w:cs="Arial"/>
          <w:color w:val="auto"/>
          <w:sz w:val="20"/>
          <w:szCs w:val="20"/>
        </w:rPr>
        <w:t>When the Contractor must maintain traffic through the area of application, the Engineer will permit one-way traffic on the untreated portion of the roadbed. When the asphalt has been absorbed by the treated surface and will not pick up, traffic shall be transferred to the treated portion and the remaining wid</w:t>
      </w:r>
      <w:r>
        <w:rPr>
          <w:rStyle w:val="A0"/>
          <w:rFonts w:ascii="Arial" w:hAnsi="Arial" w:cs="Arial"/>
          <w:color w:val="auto"/>
          <w:sz w:val="20"/>
          <w:szCs w:val="20"/>
        </w:rPr>
        <w:t>th of the section primed.</w:t>
      </w:r>
    </w:p>
    <w:p w14:paraId="43CDCB6C" w14:textId="77777777" w:rsidR="00527F65" w:rsidRDefault="00527F65" w:rsidP="00527F65">
      <w:pPr>
        <w:pStyle w:val="Pa1"/>
        <w:spacing w:after="240"/>
        <w:jc w:val="both"/>
        <w:rPr>
          <w:rStyle w:val="A0"/>
          <w:rFonts w:ascii="Arial" w:hAnsi="Arial" w:cs="Arial"/>
          <w:color w:val="auto"/>
          <w:sz w:val="20"/>
          <w:szCs w:val="20"/>
        </w:rPr>
      </w:pPr>
      <w:r w:rsidRPr="00527F65">
        <w:rPr>
          <w:rStyle w:val="A0"/>
          <w:rFonts w:ascii="Arial" w:hAnsi="Arial" w:cs="Arial"/>
          <w:color w:val="auto"/>
          <w:sz w:val="20"/>
          <w:szCs w:val="20"/>
        </w:rPr>
        <w:lastRenderedPageBreak/>
        <w:t>The Engineer must approve the quantity, rate of application, temperature, and areas to be treated before</w:t>
      </w:r>
      <w:r>
        <w:rPr>
          <w:rStyle w:val="A0"/>
          <w:rFonts w:ascii="Arial" w:hAnsi="Arial" w:cs="Arial"/>
          <w:color w:val="auto"/>
          <w:sz w:val="20"/>
          <w:szCs w:val="20"/>
        </w:rPr>
        <w:t xml:space="preserve"> application of the prime coat.</w:t>
      </w:r>
    </w:p>
    <w:p w14:paraId="4901BBB6" w14:textId="77777777" w:rsidR="00527F65" w:rsidRDefault="00527F65" w:rsidP="00527F65">
      <w:pPr>
        <w:pStyle w:val="Pa1"/>
        <w:spacing w:after="240"/>
        <w:jc w:val="both"/>
        <w:rPr>
          <w:rStyle w:val="A0"/>
          <w:rFonts w:ascii="Arial" w:hAnsi="Arial" w:cs="Arial"/>
          <w:color w:val="auto"/>
          <w:sz w:val="20"/>
          <w:szCs w:val="20"/>
        </w:rPr>
      </w:pPr>
      <w:r w:rsidRPr="00527F65">
        <w:rPr>
          <w:rStyle w:val="A0"/>
          <w:rFonts w:ascii="Arial" w:hAnsi="Arial" w:cs="Arial"/>
          <w:color w:val="auto"/>
          <w:sz w:val="20"/>
          <w:szCs w:val="20"/>
        </w:rPr>
        <w:t>The Contractor shall spread cover material at no additional cost to the Department in an amount that will prevent pick up of the asphalt if after application of the prime coat the asphalt fails to penetrate within the time specified and the r</w:t>
      </w:r>
      <w:r>
        <w:rPr>
          <w:rStyle w:val="A0"/>
          <w:rFonts w:ascii="Arial" w:hAnsi="Arial" w:cs="Arial"/>
          <w:color w:val="auto"/>
          <w:sz w:val="20"/>
          <w:szCs w:val="20"/>
        </w:rPr>
        <w:t>oadway must be used by traffic.</w:t>
      </w:r>
    </w:p>
    <w:p w14:paraId="628B1EEA" w14:textId="77777777" w:rsidR="00527F65" w:rsidRDefault="00527F65" w:rsidP="00527F65">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311.04 – Measurement and Payment</w:t>
      </w:r>
    </w:p>
    <w:p w14:paraId="0E2DE322" w14:textId="77777777" w:rsidR="00527F65" w:rsidRDefault="00527F65" w:rsidP="00527F65">
      <w:pPr>
        <w:pStyle w:val="Pa1"/>
        <w:spacing w:after="240"/>
        <w:jc w:val="both"/>
        <w:rPr>
          <w:rStyle w:val="A0"/>
          <w:rFonts w:ascii="Arial" w:hAnsi="Arial" w:cs="Arial"/>
          <w:color w:val="auto"/>
          <w:sz w:val="20"/>
          <w:szCs w:val="20"/>
        </w:rPr>
      </w:pPr>
      <w:r w:rsidRPr="00527F65">
        <w:rPr>
          <w:rStyle w:val="A0"/>
          <w:rFonts w:ascii="Arial" w:hAnsi="Arial" w:cs="Arial"/>
          <w:b/>
          <w:bCs/>
          <w:color w:val="auto"/>
          <w:sz w:val="20"/>
          <w:szCs w:val="20"/>
        </w:rPr>
        <w:t xml:space="preserve">Prime coat </w:t>
      </w:r>
      <w:r w:rsidRPr="00527F65">
        <w:rPr>
          <w:rStyle w:val="A0"/>
          <w:rFonts w:ascii="Arial" w:hAnsi="Arial" w:cs="Arial"/>
          <w:color w:val="auto"/>
          <w:sz w:val="20"/>
          <w:szCs w:val="20"/>
        </w:rPr>
        <w:t xml:space="preserve">will be measured in gallons for asphalt and in tons for cover material and will be paid for at the contract unit price per gallon for asphalt </w:t>
      </w:r>
      <w:r>
        <w:rPr>
          <w:rStyle w:val="A0"/>
          <w:rFonts w:ascii="Arial" w:hAnsi="Arial" w:cs="Arial"/>
          <w:color w:val="auto"/>
          <w:sz w:val="20"/>
          <w:szCs w:val="20"/>
        </w:rPr>
        <w:t>and per ton for cover material.</w:t>
      </w:r>
    </w:p>
    <w:p w14:paraId="116F46F4" w14:textId="77777777" w:rsidR="00527F65" w:rsidRDefault="00527F65" w:rsidP="00527F65">
      <w:pPr>
        <w:pStyle w:val="Pa1"/>
        <w:spacing w:after="240"/>
        <w:jc w:val="both"/>
        <w:rPr>
          <w:rStyle w:val="A0"/>
          <w:rFonts w:ascii="Arial" w:hAnsi="Arial" w:cs="Arial"/>
          <w:color w:val="auto"/>
          <w:sz w:val="20"/>
          <w:szCs w:val="20"/>
        </w:rPr>
      </w:pPr>
      <w:r>
        <w:rPr>
          <w:rStyle w:val="A0"/>
          <w:rFonts w:ascii="Arial" w:hAnsi="Arial" w:cs="Arial"/>
          <w:color w:val="auto"/>
          <w:sz w:val="20"/>
          <w:szCs w:val="20"/>
        </w:rPr>
        <w:t>Payment will be made under:</w:t>
      </w:r>
    </w:p>
    <w:tbl>
      <w:tblPr>
        <w:tblStyle w:val="TableGrid"/>
        <w:tblW w:w="0" w:type="auto"/>
        <w:tblInd w:w="198" w:type="dxa"/>
        <w:tblLook w:val="04A0" w:firstRow="1" w:lastRow="0" w:firstColumn="1" w:lastColumn="0" w:noHBand="0" w:noVBand="1"/>
      </w:tblPr>
      <w:tblGrid>
        <w:gridCol w:w="4482"/>
        <w:gridCol w:w="4670"/>
      </w:tblGrid>
      <w:tr w:rsidR="00527F65" w14:paraId="53B064E4" w14:textId="77777777" w:rsidTr="00527F65">
        <w:tc>
          <w:tcPr>
            <w:tcW w:w="4590" w:type="dxa"/>
          </w:tcPr>
          <w:p w14:paraId="7501A992" w14:textId="77777777" w:rsidR="00527F65" w:rsidRDefault="00527F65" w:rsidP="00527F65">
            <w:pPr>
              <w:pStyle w:val="Default"/>
            </w:pPr>
            <w:r w:rsidRPr="00527F65">
              <w:rPr>
                <w:rStyle w:val="A0"/>
                <w:rFonts w:ascii="Arial" w:hAnsi="Arial" w:cs="Arial"/>
                <w:b/>
                <w:bCs/>
                <w:color w:val="auto"/>
                <w:sz w:val="20"/>
                <w:szCs w:val="20"/>
              </w:rPr>
              <w:t>Pay Item</w:t>
            </w:r>
          </w:p>
        </w:tc>
        <w:tc>
          <w:tcPr>
            <w:tcW w:w="4788" w:type="dxa"/>
          </w:tcPr>
          <w:p w14:paraId="5BD34950" w14:textId="77777777" w:rsidR="00527F65" w:rsidRDefault="00527F65" w:rsidP="00527F65">
            <w:pPr>
              <w:pStyle w:val="Default"/>
            </w:pPr>
            <w:r w:rsidRPr="00527F65">
              <w:rPr>
                <w:rStyle w:val="A0"/>
                <w:rFonts w:ascii="Arial" w:hAnsi="Arial" w:cs="Arial"/>
                <w:b/>
                <w:bCs/>
                <w:color w:val="auto"/>
                <w:sz w:val="20"/>
                <w:szCs w:val="20"/>
              </w:rPr>
              <w:t>Pay Unit</w:t>
            </w:r>
          </w:p>
        </w:tc>
      </w:tr>
      <w:tr w:rsidR="00527F65" w14:paraId="5F961771" w14:textId="77777777" w:rsidTr="00527F65">
        <w:tc>
          <w:tcPr>
            <w:tcW w:w="4590" w:type="dxa"/>
          </w:tcPr>
          <w:p w14:paraId="311B6F12" w14:textId="77777777" w:rsidR="00527F65" w:rsidRDefault="00527F65" w:rsidP="00527F65">
            <w:pPr>
              <w:pStyle w:val="Default"/>
            </w:pPr>
            <w:r w:rsidRPr="00527F65">
              <w:rPr>
                <w:rStyle w:val="A0"/>
                <w:rFonts w:ascii="Arial" w:hAnsi="Arial" w:cs="Arial"/>
                <w:color w:val="auto"/>
                <w:sz w:val="20"/>
                <w:szCs w:val="20"/>
              </w:rPr>
              <w:t>Prime coat</w:t>
            </w:r>
          </w:p>
        </w:tc>
        <w:tc>
          <w:tcPr>
            <w:tcW w:w="4788" w:type="dxa"/>
          </w:tcPr>
          <w:p w14:paraId="0480E321" w14:textId="77777777" w:rsidR="00527F65" w:rsidRDefault="00527F65" w:rsidP="00527F65">
            <w:pPr>
              <w:pStyle w:val="Default"/>
            </w:pPr>
            <w:r w:rsidRPr="00527F65">
              <w:rPr>
                <w:rStyle w:val="A0"/>
                <w:rFonts w:ascii="Arial" w:hAnsi="Arial" w:cs="Arial"/>
                <w:color w:val="auto"/>
                <w:sz w:val="20"/>
                <w:szCs w:val="20"/>
              </w:rPr>
              <w:t>Gallon</w:t>
            </w:r>
          </w:p>
        </w:tc>
      </w:tr>
      <w:tr w:rsidR="00527F65" w14:paraId="2774C457" w14:textId="77777777" w:rsidTr="00527F65">
        <w:tc>
          <w:tcPr>
            <w:tcW w:w="4590" w:type="dxa"/>
          </w:tcPr>
          <w:p w14:paraId="1C0E3B92" w14:textId="77777777" w:rsidR="00527F65" w:rsidRDefault="00527F65" w:rsidP="00527F65">
            <w:pPr>
              <w:pStyle w:val="Default"/>
            </w:pPr>
            <w:r w:rsidRPr="00527F65">
              <w:rPr>
                <w:rStyle w:val="A0"/>
                <w:rFonts w:ascii="Arial" w:hAnsi="Arial" w:cs="Arial"/>
                <w:color w:val="auto"/>
                <w:sz w:val="20"/>
                <w:szCs w:val="20"/>
              </w:rPr>
              <w:t>Cover material (Type)</w:t>
            </w:r>
          </w:p>
        </w:tc>
        <w:tc>
          <w:tcPr>
            <w:tcW w:w="4788" w:type="dxa"/>
          </w:tcPr>
          <w:p w14:paraId="69100AA1" w14:textId="77777777" w:rsidR="00527F65" w:rsidRDefault="00527F65" w:rsidP="00527F65">
            <w:pPr>
              <w:pStyle w:val="Default"/>
            </w:pPr>
            <w:r w:rsidRPr="00527F65">
              <w:rPr>
                <w:rStyle w:val="A0"/>
                <w:rFonts w:ascii="Arial" w:hAnsi="Arial" w:cs="Arial"/>
                <w:color w:val="auto"/>
                <w:sz w:val="20"/>
                <w:szCs w:val="20"/>
              </w:rPr>
              <w:t>Ton</w:t>
            </w:r>
          </w:p>
        </w:tc>
      </w:tr>
    </w:tbl>
    <w:p w14:paraId="459D0F21" w14:textId="77777777" w:rsidR="002C3456" w:rsidRPr="00527F65" w:rsidRDefault="002C3456" w:rsidP="00527F65">
      <w:pPr>
        <w:pStyle w:val="Default"/>
        <w:rPr>
          <w:rFonts w:ascii="Arial" w:hAnsi="Arial" w:cs="Arial"/>
          <w:sz w:val="20"/>
          <w:szCs w:val="20"/>
        </w:rPr>
      </w:pPr>
    </w:p>
    <w:sectPr w:rsidR="002C3456" w:rsidRPr="00527F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7931308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240775"/>
    <w:rsid w:val="002A11D1"/>
    <w:rsid w:val="002C3456"/>
    <w:rsid w:val="00527F65"/>
    <w:rsid w:val="00743FC4"/>
    <w:rsid w:val="007F62B5"/>
    <w:rsid w:val="00801414"/>
    <w:rsid w:val="00982271"/>
    <w:rsid w:val="00BC064E"/>
    <w:rsid w:val="00D92D8B"/>
    <w:rsid w:val="00ED4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13584"/>
  <w15:docId w15:val="{4C8A4FF8-7E3C-4D9A-9FCC-B7B2AF44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527F65"/>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527F65"/>
    <w:pPr>
      <w:spacing w:line="241" w:lineRule="atLeast"/>
    </w:pPr>
    <w:rPr>
      <w:rFonts w:cstheme="minorBidi"/>
      <w:color w:val="auto"/>
    </w:rPr>
  </w:style>
  <w:style w:type="character" w:customStyle="1" w:styleId="A2">
    <w:name w:val="A2"/>
    <w:uiPriority w:val="99"/>
    <w:rsid w:val="00527F65"/>
    <w:rPr>
      <w:rFonts w:cs="TimesNewRomanPS"/>
      <w:b/>
      <w:bCs/>
      <w:color w:val="000000"/>
      <w:sz w:val="20"/>
      <w:szCs w:val="20"/>
    </w:rPr>
  </w:style>
  <w:style w:type="paragraph" w:customStyle="1" w:styleId="Pa1">
    <w:name w:val="Pa1"/>
    <w:basedOn w:val="Default"/>
    <w:next w:val="Default"/>
    <w:uiPriority w:val="99"/>
    <w:rsid w:val="00527F65"/>
    <w:pPr>
      <w:spacing w:line="241" w:lineRule="atLeast"/>
    </w:pPr>
    <w:rPr>
      <w:rFonts w:cstheme="minorBidi"/>
      <w:color w:val="auto"/>
    </w:rPr>
  </w:style>
  <w:style w:type="character" w:customStyle="1" w:styleId="A0">
    <w:name w:val="A0"/>
    <w:uiPriority w:val="99"/>
    <w:rsid w:val="00527F65"/>
    <w:rPr>
      <w:rFonts w:cs="TimesNewRomanPS"/>
      <w:color w:val="000000"/>
      <w:sz w:val="18"/>
      <w:szCs w:val="18"/>
    </w:rPr>
  </w:style>
  <w:style w:type="paragraph" w:customStyle="1" w:styleId="Pa2">
    <w:name w:val="Pa2"/>
    <w:basedOn w:val="Default"/>
    <w:next w:val="Default"/>
    <w:uiPriority w:val="99"/>
    <w:rsid w:val="00527F65"/>
    <w:pPr>
      <w:spacing w:line="241" w:lineRule="atLeast"/>
    </w:pPr>
    <w:rPr>
      <w:rFonts w:cstheme="minorBidi"/>
      <w:color w:val="auto"/>
    </w:rPr>
  </w:style>
  <w:style w:type="paragraph" w:customStyle="1" w:styleId="Pa6">
    <w:name w:val="Pa6"/>
    <w:basedOn w:val="Default"/>
    <w:next w:val="Default"/>
    <w:uiPriority w:val="99"/>
    <w:rsid w:val="00527F65"/>
    <w:pPr>
      <w:spacing w:line="241" w:lineRule="atLeast"/>
    </w:pPr>
    <w:rPr>
      <w:rFonts w:cstheme="minorBidi"/>
      <w:color w:val="auto"/>
    </w:rPr>
  </w:style>
  <w:style w:type="paragraph" w:customStyle="1" w:styleId="Pa5">
    <w:name w:val="Pa5"/>
    <w:basedOn w:val="Default"/>
    <w:next w:val="Default"/>
    <w:uiPriority w:val="99"/>
    <w:rsid w:val="00527F65"/>
    <w:pPr>
      <w:spacing w:line="241" w:lineRule="atLeast"/>
    </w:pPr>
    <w:rPr>
      <w:rFonts w:cstheme="minorBidi"/>
      <w:color w:val="auto"/>
    </w:rPr>
  </w:style>
  <w:style w:type="table" w:styleId="TableGrid">
    <w:name w:val="Table Grid"/>
    <w:basedOn w:val="TableNormal"/>
    <w:uiPriority w:val="59"/>
    <w:rsid w:val="00527F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BK311-002020-00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311</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8DEC74E0-73B3-45BF-99A4-578579B361DB}"/>
</file>

<file path=customXml/itemProps2.xml><?xml version="1.0" encoding="utf-8"?>
<ds:datastoreItem xmlns:ds="http://schemas.openxmlformats.org/officeDocument/2006/customXml" ds:itemID="{E5565621-7BF9-4084-9614-828DE65397E5}"/>
</file>

<file path=customXml/itemProps3.xml><?xml version="1.0" encoding="utf-8"?>
<ds:datastoreItem xmlns:ds="http://schemas.openxmlformats.org/officeDocument/2006/customXml" ds:itemID="{9BFDDD44-BAE2-47CD-B661-F63CA4308F70}"/>
</file>

<file path=docProps/app.xml><?xml version="1.0" encoding="utf-8"?>
<Properties xmlns="http://schemas.openxmlformats.org/officeDocument/2006/extended-properties" xmlns:vt="http://schemas.openxmlformats.org/officeDocument/2006/docPropsVTypes">
  <Template>Normal</Template>
  <TotalTime>0</TotalTime>
  <Pages>2</Pages>
  <Words>550</Words>
  <Characters>3136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Prime Coat</vt:lpstr>
    </vt:vector>
  </TitlesOfParts>
  <Company>Virginia IT Infrastructure Partnership</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Prime Coat</dc:title>
  <dc:creator>douglas.mcavoy</dc:creator>
  <cp:lastModifiedBy>Changes</cp:lastModifiedBy>
  <cp:revision>3</cp:revision>
  <dcterms:created xsi:type="dcterms:W3CDTF">2020-01-02T15:13:00Z</dcterms:created>
  <dcterms:modified xsi:type="dcterms:W3CDTF">2020-01-02T15:13:00Z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7200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4e24d1d9-fd4f-43cf-8fd6-33a4ddf14c1c</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/insidevdot/div/sc/Design/Specs/Book|4e24d1d9-fd4f-43cf-8fd6-33a4ddf14c1c</vt:lpwstr>
  </property>
  <property fmtid="{D5CDD505-2E9C-101B-9397-08002B2CF9AE}" pid="12" name="_dlc_DocIdUrl">
    <vt:lpwstr>https://insidevdot.cov.virginia.gov/div/sc/Design/Specs/Book/_layouts/DocIdRedir.aspx?ID=%2finsidevdot%2fdiv%2fsc%2fDesign%2fSpecs%2fBook%7c4e24d1d9-fd4f-43cf-8fd6-33a4ddf14c1c, /insidevdot/div/sc/Design/Specs/Book|4e24d1d9-fd4f-43cf-8fd6-33a4ddf14c1c</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BK311-002016-00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III</vt:lpwstr>
  </property>
  <property fmtid="{D5CDD505-2E9C-101B-9397-08002B2CF9AE}" pid="21" name="Sect">
    <vt:lpwstr>311</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