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E99F2" w14:textId="0F27B45A" w:rsidR="0040644D" w:rsidRPr="0040644D" w:rsidRDefault="0040644D" w:rsidP="0040644D">
      <w:pPr>
        <w:pStyle w:val="Pa0"/>
        <w:spacing w:after="240"/>
        <w:jc w:val="center"/>
        <w:outlineLvl w:val="0"/>
        <w:rPr>
          <w:rFonts w:ascii="Arial" w:hAnsi="Arial" w:cs="Arial"/>
          <w:sz w:val="20"/>
          <w:szCs w:val="20"/>
        </w:rPr>
      </w:pPr>
      <w:bookmarkStart w:id="0" w:name="_GoBack"/>
      <w:r>
        <w:rPr>
          <w:rStyle w:val="A2"/>
          <w:rFonts w:ascii="Arial" w:hAnsi="Arial" w:cs="Arial"/>
        </w:rPr>
        <w:t xml:space="preserve">SECTION 313 – </w:t>
      </w:r>
      <w:r w:rsidRPr="0040644D">
        <w:rPr>
          <w:rStyle w:val="A2"/>
          <w:rFonts w:ascii="Arial" w:hAnsi="Arial" w:cs="Arial"/>
        </w:rPr>
        <w:t>ASPHALT-STABILIZED OPEN-GRADED MATERIAL</w:t>
      </w:r>
    </w:p>
    <w:p w14:paraId="19B48D24" w14:textId="77777777" w:rsidR="0040644D" w:rsidRPr="000222F7" w:rsidRDefault="0040644D" w:rsidP="0040644D">
      <w:pPr>
        <w:pStyle w:val="Pa1"/>
        <w:spacing w:after="240"/>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313.01</w:t>
      </w:r>
      <w:proofErr w:type="gramEnd"/>
      <w:r>
        <w:rPr>
          <w:rStyle w:val="A0"/>
          <w:rFonts w:ascii="Arial" w:hAnsi="Arial" w:cs="Arial"/>
          <w:b/>
          <w:bCs/>
          <w:color w:val="auto"/>
          <w:sz w:val="20"/>
          <w:szCs w:val="20"/>
        </w:rPr>
        <w:t xml:space="preserve"> – Description</w:t>
      </w:r>
    </w:p>
    <w:p w14:paraId="3E9768B5" w14:textId="77777777" w:rsidR="0040644D" w:rsidRDefault="0040644D" w:rsidP="0040644D">
      <w:pPr>
        <w:pStyle w:val="Pa1"/>
        <w:spacing w:after="240"/>
        <w:jc w:val="both"/>
        <w:rPr>
          <w:rStyle w:val="A0"/>
          <w:rFonts w:ascii="Arial" w:hAnsi="Arial" w:cs="Arial"/>
          <w:color w:val="auto"/>
          <w:sz w:val="20"/>
          <w:szCs w:val="20"/>
        </w:rPr>
      </w:pPr>
      <w:r w:rsidRPr="0040644D">
        <w:rPr>
          <w:rStyle w:val="A0"/>
          <w:rFonts w:ascii="Arial" w:hAnsi="Arial" w:cs="Arial"/>
          <w:color w:val="auto"/>
          <w:sz w:val="20"/>
          <w:szCs w:val="20"/>
        </w:rPr>
        <w:t xml:space="preserve">This work shall consist of furnishing and placing a course of asphalt-stabilized open-graded material on a prepared subbase or subgrade in accordance with the required tolerances in these specifications and in conformity with the lines and grades shown on the plans </w:t>
      </w:r>
      <w:r>
        <w:rPr>
          <w:rStyle w:val="A0"/>
          <w:rFonts w:ascii="Arial" w:hAnsi="Arial" w:cs="Arial"/>
          <w:color w:val="auto"/>
          <w:sz w:val="20"/>
          <w:szCs w:val="20"/>
        </w:rPr>
        <w:t>or established by the Engineer.</w:t>
      </w:r>
    </w:p>
    <w:p w14:paraId="5198BE4C" w14:textId="77777777" w:rsidR="0040644D" w:rsidRPr="000222F7" w:rsidRDefault="0040644D" w:rsidP="0040644D">
      <w:pPr>
        <w:pStyle w:val="Pa1"/>
        <w:spacing w:after="240"/>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313.02</w:t>
      </w:r>
      <w:proofErr w:type="gramEnd"/>
      <w:r>
        <w:rPr>
          <w:rStyle w:val="A0"/>
          <w:rFonts w:ascii="Arial" w:hAnsi="Arial" w:cs="Arial"/>
          <w:b/>
          <w:bCs/>
          <w:color w:val="auto"/>
          <w:sz w:val="20"/>
          <w:szCs w:val="20"/>
        </w:rPr>
        <w:t xml:space="preserve"> – Materials</w:t>
      </w:r>
    </w:p>
    <w:p w14:paraId="6BC93B94" w14:textId="77777777" w:rsidR="0040644D" w:rsidRDefault="0040644D" w:rsidP="0040644D">
      <w:pPr>
        <w:pStyle w:val="Pa1"/>
        <w:spacing w:after="240"/>
        <w:jc w:val="both"/>
        <w:rPr>
          <w:rStyle w:val="A0"/>
          <w:rFonts w:ascii="Arial" w:hAnsi="Arial" w:cs="Arial"/>
          <w:color w:val="auto"/>
          <w:sz w:val="20"/>
          <w:szCs w:val="20"/>
        </w:rPr>
      </w:pPr>
      <w:r w:rsidRPr="0040644D">
        <w:rPr>
          <w:rStyle w:val="A0"/>
          <w:rFonts w:ascii="Arial" w:hAnsi="Arial" w:cs="Arial"/>
          <w:color w:val="auto"/>
          <w:sz w:val="20"/>
          <w:szCs w:val="20"/>
        </w:rPr>
        <w:t>Asphalt-stabilized open-graded material shall conform to Sect</w:t>
      </w:r>
      <w:r>
        <w:rPr>
          <w:rStyle w:val="A0"/>
          <w:rFonts w:ascii="Arial" w:hAnsi="Arial" w:cs="Arial"/>
          <w:color w:val="auto"/>
          <w:sz w:val="20"/>
          <w:szCs w:val="20"/>
        </w:rPr>
        <w:t>ion 211 except as noted herein:</w:t>
      </w:r>
    </w:p>
    <w:p w14:paraId="21FF9208" w14:textId="77777777" w:rsidR="0040644D" w:rsidRDefault="0040644D" w:rsidP="0040644D">
      <w:pPr>
        <w:pStyle w:val="Pa1"/>
        <w:numPr>
          <w:ilvl w:val="0"/>
          <w:numId w:val="3"/>
        </w:numPr>
        <w:spacing w:after="240"/>
        <w:jc w:val="both"/>
        <w:rPr>
          <w:rStyle w:val="A0"/>
          <w:rFonts w:ascii="Arial" w:hAnsi="Arial" w:cs="Arial"/>
          <w:color w:val="auto"/>
          <w:sz w:val="20"/>
          <w:szCs w:val="20"/>
        </w:rPr>
      </w:pPr>
      <w:r w:rsidRPr="0040644D">
        <w:rPr>
          <w:rStyle w:val="A0"/>
          <w:rFonts w:ascii="Arial" w:hAnsi="Arial" w:cs="Arial"/>
          <w:b/>
          <w:bCs/>
          <w:color w:val="auto"/>
          <w:sz w:val="20"/>
          <w:szCs w:val="20"/>
        </w:rPr>
        <w:t>Coarse aggregate</w:t>
      </w:r>
      <w:r w:rsidRPr="000222F7">
        <w:rPr>
          <w:rStyle w:val="A0"/>
          <w:rFonts w:ascii="Arial" w:hAnsi="Arial" w:cs="Arial"/>
          <w:bCs/>
          <w:color w:val="auto"/>
          <w:sz w:val="20"/>
          <w:szCs w:val="20"/>
        </w:rPr>
        <w:t xml:space="preserve"> </w:t>
      </w:r>
      <w:r w:rsidRPr="0040644D">
        <w:rPr>
          <w:rStyle w:val="A0"/>
          <w:rFonts w:ascii="Arial" w:hAnsi="Arial" w:cs="Arial"/>
          <w:color w:val="auto"/>
          <w:sz w:val="20"/>
          <w:szCs w:val="20"/>
        </w:rPr>
        <w:t xml:space="preserve">shall be Grade </w:t>
      </w:r>
      <w:proofErr w:type="gramStart"/>
      <w:r w:rsidRPr="0040644D">
        <w:rPr>
          <w:rStyle w:val="A0"/>
          <w:rFonts w:ascii="Arial" w:hAnsi="Arial" w:cs="Arial"/>
          <w:color w:val="auto"/>
          <w:sz w:val="20"/>
          <w:szCs w:val="20"/>
        </w:rPr>
        <w:t>A</w:t>
      </w:r>
      <w:proofErr w:type="gramEnd"/>
      <w:r w:rsidRPr="0040644D">
        <w:rPr>
          <w:rStyle w:val="A0"/>
          <w:rFonts w:ascii="Arial" w:hAnsi="Arial" w:cs="Arial"/>
          <w:color w:val="auto"/>
          <w:sz w:val="20"/>
          <w:szCs w:val="20"/>
        </w:rPr>
        <w:t xml:space="preserve"> crushed stone conformi</w:t>
      </w:r>
      <w:r>
        <w:rPr>
          <w:rStyle w:val="A0"/>
          <w:rFonts w:ascii="Arial" w:hAnsi="Arial" w:cs="Arial"/>
          <w:color w:val="auto"/>
          <w:sz w:val="20"/>
          <w:szCs w:val="20"/>
        </w:rPr>
        <w:t>ng to Section 203 and shall con</w:t>
      </w:r>
      <w:r w:rsidRPr="0040644D">
        <w:rPr>
          <w:rStyle w:val="A0"/>
          <w:rFonts w:ascii="Arial" w:hAnsi="Arial" w:cs="Arial"/>
          <w:color w:val="auto"/>
          <w:sz w:val="20"/>
          <w:szCs w:val="20"/>
        </w:rPr>
        <w:t>form to the soundness requir</w:t>
      </w:r>
      <w:r>
        <w:rPr>
          <w:rStyle w:val="A0"/>
          <w:rFonts w:ascii="Arial" w:hAnsi="Arial" w:cs="Arial"/>
          <w:color w:val="auto"/>
          <w:sz w:val="20"/>
          <w:szCs w:val="20"/>
        </w:rPr>
        <w:t>ements of surface course stone.</w:t>
      </w:r>
    </w:p>
    <w:p w14:paraId="6491FAB8" w14:textId="77777777" w:rsidR="0040644D" w:rsidRDefault="0040644D" w:rsidP="0040644D">
      <w:pPr>
        <w:pStyle w:val="Pa1"/>
        <w:numPr>
          <w:ilvl w:val="0"/>
          <w:numId w:val="3"/>
        </w:numPr>
        <w:spacing w:after="240"/>
        <w:jc w:val="both"/>
        <w:rPr>
          <w:rStyle w:val="A0"/>
          <w:rFonts w:ascii="Arial" w:hAnsi="Arial" w:cs="Arial"/>
          <w:color w:val="auto"/>
          <w:sz w:val="20"/>
          <w:szCs w:val="20"/>
        </w:rPr>
      </w:pPr>
      <w:r w:rsidRPr="0040644D">
        <w:rPr>
          <w:rStyle w:val="A0"/>
          <w:rFonts w:ascii="Arial" w:hAnsi="Arial" w:cs="Arial"/>
          <w:b/>
          <w:bCs/>
          <w:color w:val="auto"/>
          <w:sz w:val="20"/>
          <w:szCs w:val="20"/>
        </w:rPr>
        <w:t>Fine aggregate</w:t>
      </w:r>
      <w:r w:rsidRPr="000222F7">
        <w:rPr>
          <w:rStyle w:val="A0"/>
          <w:rFonts w:ascii="Arial" w:hAnsi="Arial" w:cs="Arial"/>
          <w:bCs/>
          <w:color w:val="auto"/>
          <w:sz w:val="20"/>
          <w:szCs w:val="20"/>
        </w:rPr>
        <w:t xml:space="preserve"> </w:t>
      </w:r>
      <w:r>
        <w:rPr>
          <w:rStyle w:val="A0"/>
          <w:rFonts w:ascii="Arial" w:hAnsi="Arial" w:cs="Arial"/>
          <w:color w:val="auto"/>
          <w:sz w:val="20"/>
          <w:szCs w:val="20"/>
        </w:rPr>
        <w:t>shall conform to Section 202.</w:t>
      </w:r>
    </w:p>
    <w:p w14:paraId="4F4C5F6D" w14:textId="46A54E1F" w:rsidR="0040644D" w:rsidRDefault="0040644D" w:rsidP="0040644D">
      <w:pPr>
        <w:pStyle w:val="Pa1"/>
        <w:numPr>
          <w:ilvl w:val="0"/>
          <w:numId w:val="3"/>
        </w:numPr>
        <w:spacing w:after="240"/>
        <w:jc w:val="both"/>
        <w:rPr>
          <w:rStyle w:val="A0"/>
          <w:rFonts w:ascii="Arial" w:hAnsi="Arial" w:cs="Arial"/>
          <w:color w:val="auto"/>
          <w:sz w:val="20"/>
          <w:szCs w:val="20"/>
        </w:rPr>
      </w:pPr>
      <w:r w:rsidRPr="0040644D">
        <w:rPr>
          <w:rStyle w:val="A0"/>
          <w:rFonts w:ascii="Arial" w:hAnsi="Arial" w:cs="Arial"/>
          <w:b/>
          <w:bCs/>
          <w:color w:val="auto"/>
          <w:sz w:val="20"/>
          <w:szCs w:val="20"/>
        </w:rPr>
        <w:t>Asphalt cement</w:t>
      </w:r>
      <w:r w:rsidRPr="000222F7">
        <w:rPr>
          <w:rStyle w:val="A0"/>
          <w:rFonts w:ascii="Arial" w:hAnsi="Arial" w:cs="Arial"/>
          <w:bCs/>
          <w:color w:val="auto"/>
          <w:sz w:val="20"/>
          <w:szCs w:val="20"/>
        </w:rPr>
        <w:t xml:space="preserve"> </w:t>
      </w:r>
      <w:r>
        <w:rPr>
          <w:rStyle w:val="A0"/>
          <w:rFonts w:ascii="Arial" w:hAnsi="Arial" w:cs="Arial"/>
          <w:color w:val="auto"/>
          <w:sz w:val="20"/>
          <w:szCs w:val="20"/>
        </w:rPr>
        <w:t>shall be PG 64</w:t>
      </w:r>
      <w:r w:rsidR="00957FF2">
        <w:rPr>
          <w:rStyle w:val="A0"/>
          <w:rFonts w:ascii="Arial" w:hAnsi="Arial" w:cs="Arial"/>
          <w:color w:val="auto"/>
          <w:sz w:val="20"/>
          <w:szCs w:val="20"/>
        </w:rPr>
        <w:t>H</w:t>
      </w:r>
      <w:r>
        <w:rPr>
          <w:rStyle w:val="A0"/>
          <w:rFonts w:ascii="Arial" w:hAnsi="Arial" w:cs="Arial"/>
          <w:color w:val="auto"/>
          <w:sz w:val="20"/>
          <w:szCs w:val="20"/>
        </w:rPr>
        <w:t>-22.</w:t>
      </w:r>
    </w:p>
    <w:p w14:paraId="3FF5B8BB" w14:textId="77777777" w:rsidR="0040644D" w:rsidRDefault="0040644D" w:rsidP="0040644D">
      <w:pPr>
        <w:pStyle w:val="Pa1"/>
        <w:numPr>
          <w:ilvl w:val="0"/>
          <w:numId w:val="3"/>
        </w:numPr>
        <w:spacing w:after="240"/>
        <w:jc w:val="both"/>
        <w:rPr>
          <w:rStyle w:val="A0"/>
          <w:rFonts w:ascii="Arial" w:hAnsi="Arial" w:cs="Arial"/>
          <w:color w:val="auto"/>
          <w:sz w:val="20"/>
          <w:szCs w:val="20"/>
        </w:rPr>
      </w:pPr>
      <w:r w:rsidRPr="0040644D">
        <w:rPr>
          <w:rStyle w:val="A0"/>
          <w:rFonts w:ascii="Arial" w:hAnsi="Arial" w:cs="Arial"/>
          <w:b/>
          <w:bCs/>
          <w:color w:val="auto"/>
          <w:sz w:val="20"/>
          <w:szCs w:val="20"/>
        </w:rPr>
        <w:t>Reclaimed asphalt pavement</w:t>
      </w:r>
      <w:r w:rsidRPr="000222F7">
        <w:rPr>
          <w:rStyle w:val="A0"/>
          <w:rFonts w:ascii="Arial" w:hAnsi="Arial" w:cs="Arial"/>
          <w:bCs/>
          <w:color w:val="auto"/>
          <w:sz w:val="20"/>
          <w:szCs w:val="20"/>
        </w:rPr>
        <w:t xml:space="preserve"> </w:t>
      </w:r>
      <w:r w:rsidRPr="0040644D">
        <w:rPr>
          <w:rStyle w:val="A0"/>
          <w:rFonts w:ascii="Arial" w:hAnsi="Arial" w:cs="Arial"/>
          <w:color w:val="auto"/>
          <w:sz w:val="20"/>
          <w:szCs w:val="20"/>
        </w:rPr>
        <w:t>shall not</w:t>
      </w:r>
      <w:r>
        <w:rPr>
          <w:rStyle w:val="A0"/>
          <w:rFonts w:ascii="Arial" w:hAnsi="Arial" w:cs="Arial"/>
          <w:color w:val="auto"/>
          <w:sz w:val="20"/>
          <w:szCs w:val="20"/>
        </w:rPr>
        <w:t xml:space="preserve"> be used as component material.</w:t>
      </w:r>
    </w:p>
    <w:p w14:paraId="50BCB97F" w14:textId="77777777" w:rsidR="0040644D" w:rsidRPr="000222F7" w:rsidRDefault="0040644D" w:rsidP="0040644D">
      <w:pPr>
        <w:pStyle w:val="Pa1"/>
        <w:spacing w:after="240"/>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313.03</w:t>
      </w:r>
      <w:proofErr w:type="gramEnd"/>
      <w:r>
        <w:rPr>
          <w:rStyle w:val="A0"/>
          <w:rFonts w:ascii="Arial" w:hAnsi="Arial" w:cs="Arial"/>
          <w:b/>
          <w:bCs/>
          <w:color w:val="auto"/>
          <w:sz w:val="20"/>
          <w:szCs w:val="20"/>
        </w:rPr>
        <w:t>—Proportioning</w:t>
      </w:r>
    </w:p>
    <w:p w14:paraId="732515A0" w14:textId="77777777" w:rsidR="0040644D" w:rsidRDefault="0040644D" w:rsidP="0040644D">
      <w:pPr>
        <w:pStyle w:val="Pa1"/>
        <w:spacing w:after="240"/>
        <w:jc w:val="both"/>
        <w:rPr>
          <w:rStyle w:val="A0"/>
          <w:rFonts w:ascii="Arial" w:hAnsi="Arial" w:cs="Arial"/>
          <w:color w:val="auto"/>
          <w:sz w:val="20"/>
          <w:szCs w:val="20"/>
        </w:rPr>
      </w:pPr>
      <w:r w:rsidRPr="0040644D">
        <w:rPr>
          <w:rStyle w:val="A0"/>
          <w:rFonts w:ascii="Arial" w:hAnsi="Arial" w:cs="Arial"/>
          <w:color w:val="auto"/>
          <w:sz w:val="20"/>
          <w:szCs w:val="20"/>
        </w:rPr>
        <w:t>Stabilized open-graded material shall be designed to have an in-place coefficient of permeability of at least 1,000 feet per day when te</w:t>
      </w:r>
      <w:r>
        <w:rPr>
          <w:rStyle w:val="A0"/>
          <w:rFonts w:ascii="Arial" w:hAnsi="Arial" w:cs="Arial"/>
          <w:color w:val="auto"/>
          <w:sz w:val="20"/>
          <w:szCs w:val="20"/>
        </w:rPr>
        <w:t>sted in accordance with VTM-84.</w:t>
      </w:r>
    </w:p>
    <w:p w14:paraId="70BB88D1" w14:textId="77777777" w:rsidR="0040644D" w:rsidRDefault="0040644D" w:rsidP="0040644D">
      <w:pPr>
        <w:pStyle w:val="Pa1"/>
        <w:spacing w:after="240"/>
        <w:jc w:val="both"/>
        <w:rPr>
          <w:rStyle w:val="A0"/>
          <w:rFonts w:ascii="Arial" w:hAnsi="Arial" w:cs="Arial"/>
          <w:color w:val="auto"/>
          <w:sz w:val="20"/>
          <w:szCs w:val="20"/>
        </w:rPr>
      </w:pPr>
      <w:r w:rsidRPr="0040644D">
        <w:rPr>
          <w:rStyle w:val="A0"/>
          <w:rFonts w:ascii="Arial" w:hAnsi="Arial" w:cs="Arial"/>
          <w:color w:val="auto"/>
          <w:sz w:val="20"/>
          <w:szCs w:val="20"/>
        </w:rPr>
        <w:t>The following design range shall be used for asphalt-s</w:t>
      </w:r>
      <w:r>
        <w:rPr>
          <w:rStyle w:val="A0"/>
          <w:rFonts w:ascii="Arial" w:hAnsi="Arial" w:cs="Arial"/>
          <w:color w:val="auto"/>
          <w:sz w:val="20"/>
          <w:szCs w:val="20"/>
        </w:rPr>
        <w:t>tabilized open-graded material:</w:t>
      </w:r>
    </w:p>
    <w:tbl>
      <w:tblPr>
        <w:tblStyle w:val="TableGrid"/>
        <w:tblW w:w="0" w:type="auto"/>
        <w:tblInd w:w="198" w:type="dxa"/>
        <w:tblLook w:val="04A0" w:firstRow="1" w:lastRow="0" w:firstColumn="1" w:lastColumn="0" w:noHBand="0" w:noVBand="1"/>
      </w:tblPr>
      <w:tblGrid>
        <w:gridCol w:w="990"/>
        <w:gridCol w:w="900"/>
        <w:gridCol w:w="900"/>
      </w:tblGrid>
      <w:tr w:rsidR="0040644D" w:rsidRPr="0040644D" w14:paraId="62CE6207" w14:textId="77777777" w:rsidTr="00956CEC">
        <w:tc>
          <w:tcPr>
            <w:tcW w:w="990" w:type="dxa"/>
            <w:vMerge w:val="restart"/>
            <w:tcBorders>
              <w:left w:val="nil"/>
              <w:right w:val="nil"/>
            </w:tcBorders>
            <w:vAlign w:val="center"/>
          </w:tcPr>
          <w:p w14:paraId="657CB721" w14:textId="77777777" w:rsidR="0040644D" w:rsidRPr="0040644D" w:rsidRDefault="0040644D" w:rsidP="0040644D">
            <w:pPr>
              <w:pStyle w:val="Default"/>
              <w:jc w:val="center"/>
              <w:rPr>
                <w:rFonts w:ascii="Arial" w:hAnsi="Arial" w:cs="Arial"/>
                <w:b/>
                <w:sz w:val="20"/>
                <w:szCs w:val="20"/>
              </w:rPr>
            </w:pPr>
            <w:r w:rsidRPr="0040644D">
              <w:rPr>
                <w:rFonts w:ascii="Arial" w:hAnsi="Arial" w:cs="Arial"/>
                <w:b/>
                <w:sz w:val="20"/>
                <w:szCs w:val="20"/>
              </w:rPr>
              <w:t>Sieve</w:t>
            </w:r>
          </w:p>
        </w:tc>
        <w:tc>
          <w:tcPr>
            <w:tcW w:w="1800" w:type="dxa"/>
            <w:gridSpan w:val="2"/>
            <w:tcBorders>
              <w:left w:val="nil"/>
              <w:right w:val="nil"/>
            </w:tcBorders>
          </w:tcPr>
          <w:p w14:paraId="7C8A5AE8" w14:textId="77777777" w:rsidR="0040644D" w:rsidRPr="0040644D" w:rsidRDefault="0040644D" w:rsidP="0040644D">
            <w:pPr>
              <w:pStyle w:val="Default"/>
              <w:rPr>
                <w:rFonts w:ascii="Arial" w:hAnsi="Arial" w:cs="Arial"/>
                <w:b/>
                <w:sz w:val="20"/>
                <w:szCs w:val="20"/>
              </w:rPr>
            </w:pPr>
            <w:r w:rsidRPr="0040644D">
              <w:rPr>
                <w:rFonts w:ascii="Arial" w:hAnsi="Arial" w:cs="Arial"/>
                <w:b/>
                <w:sz w:val="20"/>
                <w:szCs w:val="20"/>
              </w:rPr>
              <w:t>% Passing</w:t>
            </w:r>
          </w:p>
        </w:tc>
      </w:tr>
      <w:tr w:rsidR="0040644D" w:rsidRPr="0040644D" w14:paraId="78894231" w14:textId="77777777" w:rsidTr="00956CEC">
        <w:tc>
          <w:tcPr>
            <w:tcW w:w="990" w:type="dxa"/>
            <w:vMerge/>
            <w:tcBorders>
              <w:left w:val="nil"/>
              <w:bottom w:val="single" w:sz="4" w:space="0" w:color="auto"/>
              <w:right w:val="nil"/>
            </w:tcBorders>
          </w:tcPr>
          <w:p w14:paraId="22938807" w14:textId="77777777" w:rsidR="0040644D" w:rsidRPr="0040644D" w:rsidRDefault="0040644D" w:rsidP="0040644D">
            <w:pPr>
              <w:pStyle w:val="Default"/>
              <w:rPr>
                <w:rFonts w:ascii="Arial" w:hAnsi="Arial" w:cs="Arial"/>
                <w:b/>
                <w:sz w:val="20"/>
                <w:szCs w:val="20"/>
              </w:rPr>
            </w:pPr>
          </w:p>
        </w:tc>
        <w:tc>
          <w:tcPr>
            <w:tcW w:w="900" w:type="dxa"/>
            <w:tcBorders>
              <w:left w:val="nil"/>
              <w:bottom w:val="single" w:sz="4" w:space="0" w:color="auto"/>
              <w:right w:val="nil"/>
            </w:tcBorders>
          </w:tcPr>
          <w:p w14:paraId="10D63416" w14:textId="77777777" w:rsidR="0040644D" w:rsidRPr="0040644D" w:rsidRDefault="0040644D" w:rsidP="0040644D">
            <w:pPr>
              <w:pStyle w:val="Default"/>
              <w:rPr>
                <w:rFonts w:ascii="Arial" w:hAnsi="Arial" w:cs="Arial"/>
                <w:b/>
                <w:sz w:val="20"/>
                <w:szCs w:val="20"/>
              </w:rPr>
            </w:pPr>
            <w:r w:rsidRPr="0040644D">
              <w:rPr>
                <w:rFonts w:ascii="Arial" w:hAnsi="Arial" w:cs="Arial"/>
                <w:b/>
                <w:sz w:val="20"/>
                <w:szCs w:val="20"/>
              </w:rPr>
              <w:t>Min.</w:t>
            </w:r>
          </w:p>
        </w:tc>
        <w:tc>
          <w:tcPr>
            <w:tcW w:w="900" w:type="dxa"/>
            <w:tcBorders>
              <w:left w:val="nil"/>
              <w:bottom w:val="single" w:sz="4" w:space="0" w:color="auto"/>
              <w:right w:val="nil"/>
            </w:tcBorders>
          </w:tcPr>
          <w:p w14:paraId="0498E4AC" w14:textId="77777777" w:rsidR="0040644D" w:rsidRPr="0040644D" w:rsidRDefault="0040644D" w:rsidP="0040644D">
            <w:pPr>
              <w:pStyle w:val="Default"/>
              <w:rPr>
                <w:rFonts w:ascii="Arial" w:hAnsi="Arial" w:cs="Arial"/>
                <w:b/>
                <w:sz w:val="20"/>
                <w:szCs w:val="20"/>
              </w:rPr>
            </w:pPr>
            <w:r w:rsidRPr="0040644D">
              <w:rPr>
                <w:rFonts w:ascii="Arial" w:hAnsi="Arial" w:cs="Arial"/>
                <w:b/>
                <w:sz w:val="20"/>
                <w:szCs w:val="20"/>
              </w:rPr>
              <w:t>Max.</w:t>
            </w:r>
          </w:p>
        </w:tc>
      </w:tr>
      <w:tr w:rsidR="0040644D" w:rsidRPr="0040644D" w14:paraId="6E2D437D" w14:textId="77777777" w:rsidTr="00956CEC">
        <w:tc>
          <w:tcPr>
            <w:tcW w:w="990" w:type="dxa"/>
            <w:tcBorders>
              <w:left w:val="nil"/>
              <w:bottom w:val="nil"/>
              <w:right w:val="nil"/>
            </w:tcBorders>
          </w:tcPr>
          <w:p w14:paraId="44BD5C58" w14:textId="77777777" w:rsidR="0040644D" w:rsidRPr="0040644D" w:rsidRDefault="0040644D" w:rsidP="0040644D">
            <w:pPr>
              <w:pStyle w:val="Default"/>
              <w:rPr>
                <w:rFonts w:ascii="Arial" w:hAnsi="Arial" w:cs="Arial"/>
                <w:sz w:val="20"/>
                <w:szCs w:val="20"/>
              </w:rPr>
            </w:pPr>
            <w:r>
              <w:rPr>
                <w:rFonts w:ascii="Arial" w:hAnsi="Arial" w:cs="Arial"/>
                <w:sz w:val="20"/>
                <w:szCs w:val="20"/>
              </w:rPr>
              <w:t>1 in</w:t>
            </w:r>
          </w:p>
        </w:tc>
        <w:tc>
          <w:tcPr>
            <w:tcW w:w="900" w:type="dxa"/>
            <w:tcBorders>
              <w:left w:val="nil"/>
              <w:bottom w:val="nil"/>
              <w:right w:val="nil"/>
            </w:tcBorders>
          </w:tcPr>
          <w:p w14:paraId="2F8C7044" w14:textId="77777777" w:rsidR="0040644D" w:rsidRPr="0040644D" w:rsidRDefault="0040644D" w:rsidP="0040644D">
            <w:pPr>
              <w:pStyle w:val="Default"/>
              <w:rPr>
                <w:rFonts w:ascii="Arial" w:hAnsi="Arial" w:cs="Arial"/>
                <w:sz w:val="20"/>
                <w:szCs w:val="20"/>
              </w:rPr>
            </w:pPr>
            <w:r>
              <w:rPr>
                <w:rFonts w:ascii="Arial" w:hAnsi="Arial" w:cs="Arial"/>
                <w:sz w:val="20"/>
                <w:szCs w:val="20"/>
              </w:rPr>
              <w:t>100</w:t>
            </w:r>
          </w:p>
        </w:tc>
        <w:tc>
          <w:tcPr>
            <w:tcW w:w="900" w:type="dxa"/>
            <w:tcBorders>
              <w:left w:val="nil"/>
              <w:bottom w:val="nil"/>
              <w:right w:val="nil"/>
            </w:tcBorders>
          </w:tcPr>
          <w:p w14:paraId="39BBA171" w14:textId="77777777" w:rsidR="0040644D" w:rsidRPr="0040644D" w:rsidRDefault="0040644D" w:rsidP="0040644D">
            <w:pPr>
              <w:pStyle w:val="Default"/>
              <w:rPr>
                <w:rFonts w:ascii="Arial" w:hAnsi="Arial" w:cs="Arial"/>
                <w:sz w:val="20"/>
                <w:szCs w:val="20"/>
              </w:rPr>
            </w:pPr>
            <w:r>
              <w:rPr>
                <w:rFonts w:ascii="Arial" w:hAnsi="Arial" w:cs="Arial"/>
                <w:sz w:val="20"/>
                <w:szCs w:val="20"/>
              </w:rPr>
              <w:t>100</w:t>
            </w:r>
          </w:p>
        </w:tc>
      </w:tr>
      <w:tr w:rsidR="0040644D" w:rsidRPr="0040644D" w14:paraId="04CE2E09" w14:textId="77777777" w:rsidTr="00956CEC">
        <w:tc>
          <w:tcPr>
            <w:tcW w:w="990" w:type="dxa"/>
            <w:tcBorders>
              <w:top w:val="nil"/>
              <w:left w:val="nil"/>
              <w:bottom w:val="nil"/>
              <w:right w:val="nil"/>
            </w:tcBorders>
          </w:tcPr>
          <w:p w14:paraId="598311A3" w14:textId="77777777" w:rsidR="0040644D" w:rsidRDefault="0040644D" w:rsidP="0040644D">
            <w:pPr>
              <w:pStyle w:val="Default"/>
              <w:rPr>
                <w:rFonts w:ascii="Arial" w:hAnsi="Arial" w:cs="Arial"/>
                <w:sz w:val="20"/>
                <w:szCs w:val="20"/>
              </w:rPr>
            </w:pPr>
            <w:r>
              <w:rPr>
                <w:rFonts w:ascii="Arial" w:hAnsi="Arial" w:cs="Arial"/>
                <w:sz w:val="20"/>
                <w:szCs w:val="20"/>
              </w:rPr>
              <w:t>3/4 in</w:t>
            </w:r>
          </w:p>
        </w:tc>
        <w:tc>
          <w:tcPr>
            <w:tcW w:w="900" w:type="dxa"/>
            <w:tcBorders>
              <w:top w:val="nil"/>
              <w:left w:val="nil"/>
              <w:bottom w:val="nil"/>
              <w:right w:val="nil"/>
            </w:tcBorders>
          </w:tcPr>
          <w:p w14:paraId="14488464" w14:textId="77777777" w:rsidR="0040644D" w:rsidRDefault="0040644D" w:rsidP="0040644D">
            <w:pPr>
              <w:pStyle w:val="Default"/>
              <w:rPr>
                <w:rFonts w:ascii="Arial" w:hAnsi="Arial" w:cs="Arial"/>
                <w:sz w:val="20"/>
                <w:szCs w:val="20"/>
              </w:rPr>
            </w:pPr>
            <w:r>
              <w:rPr>
                <w:rFonts w:ascii="Arial" w:hAnsi="Arial" w:cs="Arial"/>
                <w:sz w:val="20"/>
                <w:szCs w:val="20"/>
              </w:rPr>
              <w:t>88</w:t>
            </w:r>
          </w:p>
        </w:tc>
        <w:tc>
          <w:tcPr>
            <w:tcW w:w="900" w:type="dxa"/>
            <w:tcBorders>
              <w:top w:val="nil"/>
              <w:left w:val="nil"/>
              <w:bottom w:val="nil"/>
              <w:right w:val="nil"/>
            </w:tcBorders>
          </w:tcPr>
          <w:p w14:paraId="3D0BB291" w14:textId="77777777" w:rsidR="0040644D" w:rsidRDefault="0040644D" w:rsidP="0040644D">
            <w:pPr>
              <w:pStyle w:val="Default"/>
              <w:rPr>
                <w:rFonts w:ascii="Arial" w:hAnsi="Arial" w:cs="Arial"/>
                <w:sz w:val="20"/>
                <w:szCs w:val="20"/>
              </w:rPr>
            </w:pPr>
            <w:r>
              <w:rPr>
                <w:rFonts w:ascii="Arial" w:hAnsi="Arial" w:cs="Arial"/>
                <w:sz w:val="20"/>
                <w:szCs w:val="20"/>
              </w:rPr>
              <w:t>100</w:t>
            </w:r>
          </w:p>
        </w:tc>
      </w:tr>
      <w:tr w:rsidR="0040644D" w:rsidRPr="0040644D" w14:paraId="48263F28" w14:textId="77777777" w:rsidTr="00956CEC">
        <w:tc>
          <w:tcPr>
            <w:tcW w:w="990" w:type="dxa"/>
            <w:tcBorders>
              <w:top w:val="nil"/>
              <w:left w:val="nil"/>
              <w:bottom w:val="nil"/>
              <w:right w:val="nil"/>
            </w:tcBorders>
          </w:tcPr>
          <w:p w14:paraId="74C8BC13" w14:textId="77777777" w:rsidR="0040644D" w:rsidRDefault="0040644D" w:rsidP="0040644D">
            <w:pPr>
              <w:pStyle w:val="Default"/>
              <w:rPr>
                <w:rFonts w:ascii="Arial" w:hAnsi="Arial" w:cs="Arial"/>
                <w:sz w:val="20"/>
                <w:szCs w:val="20"/>
              </w:rPr>
            </w:pPr>
            <w:r>
              <w:rPr>
                <w:rFonts w:ascii="Arial" w:hAnsi="Arial" w:cs="Arial"/>
                <w:sz w:val="20"/>
                <w:szCs w:val="20"/>
              </w:rPr>
              <w:t>1/2 in</w:t>
            </w:r>
          </w:p>
        </w:tc>
        <w:tc>
          <w:tcPr>
            <w:tcW w:w="900" w:type="dxa"/>
            <w:tcBorders>
              <w:top w:val="nil"/>
              <w:left w:val="nil"/>
              <w:bottom w:val="nil"/>
              <w:right w:val="nil"/>
            </w:tcBorders>
          </w:tcPr>
          <w:p w14:paraId="53E41691" w14:textId="77777777" w:rsidR="0040644D" w:rsidRDefault="0040644D" w:rsidP="0040644D">
            <w:pPr>
              <w:pStyle w:val="Default"/>
              <w:rPr>
                <w:rFonts w:ascii="Arial" w:hAnsi="Arial" w:cs="Arial"/>
                <w:sz w:val="20"/>
                <w:szCs w:val="20"/>
              </w:rPr>
            </w:pPr>
            <w:r>
              <w:rPr>
                <w:rFonts w:ascii="Arial" w:hAnsi="Arial" w:cs="Arial"/>
                <w:sz w:val="20"/>
                <w:szCs w:val="20"/>
              </w:rPr>
              <w:t>70</w:t>
            </w:r>
          </w:p>
        </w:tc>
        <w:tc>
          <w:tcPr>
            <w:tcW w:w="900" w:type="dxa"/>
            <w:tcBorders>
              <w:top w:val="nil"/>
              <w:left w:val="nil"/>
              <w:bottom w:val="nil"/>
              <w:right w:val="nil"/>
            </w:tcBorders>
          </w:tcPr>
          <w:p w14:paraId="7042A7A4" w14:textId="77777777" w:rsidR="0040644D" w:rsidRDefault="0040644D" w:rsidP="0040644D">
            <w:pPr>
              <w:pStyle w:val="Default"/>
              <w:rPr>
                <w:rFonts w:ascii="Arial" w:hAnsi="Arial" w:cs="Arial"/>
                <w:sz w:val="20"/>
                <w:szCs w:val="20"/>
              </w:rPr>
            </w:pPr>
            <w:r>
              <w:rPr>
                <w:rFonts w:ascii="Arial" w:hAnsi="Arial" w:cs="Arial"/>
                <w:sz w:val="20"/>
                <w:szCs w:val="20"/>
              </w:rPr>
              <w:t>90</w:t>
            </w:r>
          </w:p>
        </w:tc>
      </w:tr>
      <w:tr w:rsidR="0040644D" w:rsidRPr="0040644D" w14:paraId="08F43CD4" w14:textId="77777777" w:rsidTr="00956CEC">
        <w:tc>
          <w:tcPr>
            <w:tcW w:w="990" w:type="dxa"/>
            <w:tcBorders>
              <w:top w:val="nil"/>
              <w:left w:val="nil"/>
              <w:bottom w:val="nil"/>
              <w:right w:val="nil"/>
            </w:tcBorders>
          </w:tcPr>
          <w:p w14:paraId="7E51AFAE" w14:textId="77777777" w:rsidR="0040644D" w:rsidRDefault="0040644D" w:rsidP="0040644D">
            <w:pPr>
              <w:pStyle w:val="Default"/>
              <w:rPr>
                <w:rFonts w:ascii="Arial" w:hAnsi="Arial" w:cs="Arial"/>
                <w:sz w:val="20"/>
                <w:szCs w:val="20"/>
              </w:rPr>
            </w:pPr>
            <w:r>
              <w:rPr>
                <w:rFonts w:ascii="Arial" w:hAnsi="Arial" w:cs="Arial"/>
                <w:sz w:val="20"/>
                <w:szCs w:val="20"/>
              </w:rPr>
              <w:t>No. 8</w:t>
            </w:r>
          </w:p>
        </w:tc>
        <w:tc>
          <w:tcPr>
            <w:tcW w:w="900" w:type="dxa"/>
            <w:tcBorders>
              <w:top w:val="nil"/>
              <w:left w:val="nil"/>
              <w:bottom w:val="nil"/>
              <w:right w:val="nil"/>
            </w:tcBorders>
          </w:tcPr>
          <w:p w14:paraId="1ECD915C" w14:textId="77777777" w:rsidR="0040644D" w:rsidRDefault="0040644D" w:rsidP="0040644D">
            <w:pPr>
              <w:pStyle w:val="Default"/>
              <w:rPr>
                <w:rFonts w:ascii="Arial" w:hAnsi="Arial" w:cs="Arial"/>
                <w:sz w:val="20"/>
                <w:szCs w:val="20"/>
              </w:rPr>
            </w:pPr>
            <w:r>
              <w:rPr>
                <w:rFonts w:ascii="Arial" w:hAnsi="Arial" w:cs="Arial"/>
                <w:sz w:val="20"/>
                <w:szCs w:val="20"/>
              </w:rPr>
              <w:t>0</w:t>
            </w:r>
          </w:p>
        </w:tc>
        <w:tc>
          <w:tcPr>
            <w:tcW w:w="900" w:type="dxa"/>
            <w:tcBorders>
              <w:top w:val="nil"/>
              <w:left w:val="nil"/>
              <w:bottom w:val="nil"/>
              <w:right w:val="nil"/>
            </w:tcBorders>
          </w:tcPr>
          <w:p w14:paraId="4F4E4685" w14:textId="77777777" w:rsidR="0040644D" w:rsidRDefault="0040644D" w:rsidP="0040644D">
            <w:pPr>
              <w:pStyle w:val="Default"/>
              <w:rPr>
                <w:rFonts w:ascii="Arial" w:hAnsi="Arial" w:cs="Arial"/>
                <w:sz w:val="20"/>
                <w:szCs w:val="20"/>
              </w:rPr>
            </w:pPr>
            <w:r>
              <w:rPr>
                <w:rFonts w:ascii="Arial" w:hAnsi="Arial" w:cs="Arial"/>
                <w:sz w:val="20"/>
                <w:szCs w:val="20"/>
              </w:rPr>
              <w:t>15</w:t>
            </w:r>
          </w:p>
        </w:tc>
      </w:tr>
      <w:tr w:rsidR="0040644D" w:rsidRPr="0040644D" w14:paraId="18697D33" w14:textId="77777777" w:rsidTr="00956CEC">
        <w:tc>
          <w:tcPr>
            <w:tcW w:w="990" w:type="dxa"/>
            <w:tcBorders>
              <w:top w:val="nil"/>
              <w:left w:val="nil"/>
              <w:right w:val="nil"/>
            </w:tcBorders>
          </w:tcPr>
          <w:p w14:paraId="1CCE42B2" w14:textId="77777777" w:rsidR="0040644D" w:rsidRDefault="0040644D" w:rsidP="0040644D">
            <w:pPr>
              <w:pStyle w:val="Default"/>
              <w:rPr>
                <w:rFonts w:ascii="Arial" w:hAnsi="Arial" w:cs="Arial"/>
                <w:sz w:val="20"/>
                <w:szCs w:val="20"/>
              </w:rPr>
            </w:pPr>
            <w:r>
              <w:rPr>
                <w:rFonts w:ascii="Arial" w:hAnsi="Arial" w:cs="Arial"/>
                <w:sz w:val="20"/>
                <w:szCs w:val="20"/>
              </w:rPr>
              <w:t>No. 200</w:t>
            </w:r>
          </w:p>
        </w:tc>
        <w:tc>
          <w:tcPr>
            <w:tcW w:w="900" w:type="dxa"/>
            <w:tcBorders>
              <w:top w:val="nil"/>
              <w:left w:val="nil"/>
              <w:right w:val="nil"/>
            </w:tcBorders>
          </w:tcPr>
          <w:p w14:paraId="2FE16A8D" w14:textId="77777777" w:rsidR="0040644D" w:rsidRDefault="0040644D" w:rsidP="0040644D">
            <w:pPr>
              <w:pStyle w:val="Default"/>
              <w:rPr>
                <w:rFonts w:ascii="Arial" w:hAnsi="Arial" w:cs="Arial"/>
                <w:sz w:val="20"/>
                <w:szCs w:val="20"/>
              </w:rPr>
            </w:pPr>
            <w:r>
              <w:rPr>
                <w:rFonts w:ascii="Arial" w:hAnsi="Arial" w:cs="Arial"/>
                <w:sz w:val="20"/>
                <w:szCs w:val="20"/>
              </w:rPr>
              <w:t>0.5</w:t>
            </w:r>
          </w:p>
        </w:tc>
        <w:tc>
          <w:tcPr>
            <w:tcW w:w="900" w:type="dxa"/>
            <w:tcBorders>
              <w:top w:val="nil"/>
              <w:left w:val="nil"/>
              <w:right w:val="nil"/>
            </w:tcBorders>
          </w:tcPr>
          <w:p w14:paraId="75C16C6D" w14:textId="77777777" w:rsidR="0040644D" w:rsidRDefault="0040644D" w:rsidP="0040644D">
            <w:pPr>
              <w:pStyle w:val="Default"/>
              <w:rPr>
                <w:rFonts w:ascii="Arial" w:hAnsi="Arial" w:cs="Arial"/>
                <w:sz w:val="20"/>
                <w:szCs w:val="20"/>
              </w:rPr>
            </w:pPr>
            <w:r>
              <w:rPr>
                <w:rFonts w:ascii="Arial" w:hAnsi="Arial" w:cs="Arial"/>
                <w:sz w:val="20"/>
                <w:szCs w:val="20"/>
              </w:rPr>
              <w:t>4.5</w:t>
            </w:r>
          </w:p>
        </w:tc>
      </w:tr>
      <w:tr w:rsidR="0040644D" w:rsidRPr="0040644D" w14:paraId="44AB9FE6" w14:textId="77777777" w:rsidTr="00956CEC">
        <w:tc>
          <w:tcPr>
            <w:tcW w:w="2790" w:type="dxa"/>
            <w:gridSpan w:val="3"/>
            <w:tcBorders>
              <w:left w:val="nil"/>
              <w:right w:val="nil"/>
            </w:tcBorders>
          </w:tcPr>
          <w:p w14:paraId="21F4BAB6" w14:textId="77777777" w:rsidR="0040644D" w:rsidRDefault="0040644D" w:rsidP="0040644D">
            <w:pPr>
              <w:pStyle w:val="Default"/>
              <w:rPr>
                <w:rFonts w:ascii="Arial" w:hAnsi="Arial" w:cs="Arial"/>
                <w:sz w:val="20"/>
                <w:szCs w:val="20"/>
              </w:rPr>
            </w:pPr>
            <w:r>
              <w:rPr>
                <w:rFonts w:ascii="Arial" w:hAnsi="Arial" w:cs="Arial"/>
                <w:sz w:val="20"/>
                <w:szCs w:val="20"/>
              </w:rPr>
              <w:t>Asphalt Content 4.3 ± 0.3%</w:t>
            </w:r>
          </w:p>
        </w:tc>
      </w:tr>
    </w:tbl>
    <w:p w14:paraId="072214D9" w14:textId="77777777" w:rsidR="0040644D" w:rsidRPr="0040644D" w:rsidRDefault="0040644D" w:rsidP="0040644D">
      <w:pPr>
        <w:pStyle w:val="Default"/>
        <w:rPr>
          <w:rFonts w:ascii="Arial" w:hAnsi="Arial" w:cs="Arial"/>
          <w:sz w:val="20"/>
          <w:szCs w:val="20"/>
        </w:rPr>
      </w:pPr>
    </w:p>
    <w:p w14:paraId="41867796" w14:textId="51784668"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Hydrated lime shall be used in all mixtures at the rate of at least 0.5 percent by weight of the total dry aggregates. The Contractor may use chemical additives in addition to or in lieu of lime with the Engineer’s approval. The Engineer’s approval will be based on previous approvals of chemicals used with the same aggregates in asphalt concrete mixes of other ty</w:t>
      </w:r>
      <w:r>
        <w:rPr>
          <w:rStyle w:val="A0"/>
          <w:rFonts w:ascii="Arial" w:hAnsi="Arial" w:cs="Arial"/>
          <w:sz w:val="20"/>
          <w:szCs w:val="20"/>
        </w:rPr>
        <w:t>pes as detailed in Section 211.</w:t>
      </w:r>
    </w:p>
    <w:p w14:paraId="5EA69C84"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mix temperature shall be between 2</w:t>
      </w:r>
      <w:r>
        <w:rPr>
          <w:rStyle w:val="A0"/>
          <w:rFonts w:ascii="Arial" w:hAnsi="Arial" w:cs="Arial"/>
          <w:sz w:val="20"/>
          <w:szCs w:val="20"/>
        </w:rPr>
        <w:t>50 degrees F and 280 degrees F.</w:t>
      </w:r>
    </w:p>
    <w:p w14:paraId="38CF6ACA"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 xml:space="preserve">The Engineer will not require design test </w:t>
      </w:r>
      <w:r>
        <w:rPr>
          <w:rStyle w:val="A0"/>
          <w:rFonts w:ascii="Arial" w:hAnsi="Arial" w:cs="Arial"/>
          <w:sz w:val="20"/>
          <w:szCs w:val="20"/>
        </w:rPr>
        <w:t>data.</w:t>
      </w:r>
    </w:p>
    <w:p w14:paraId="0840A45F"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 xml:space="preserve">The Contractor shall perform </w:t>
      </w:r>
      <w:proofErr w:type="spellStart"/>
      <w:r w:rsidRPr="0040644D">
        <w:rPr>
          <w:rStyle w:val="A0"/>
          <w:rFonts w:ascii="Arial" w:hAnsi="Arial" w:cs="Arial"/>
          <w:sz w:val="20"/>
          <w:szCs w:val="20"/>
        </w:rPr>
        <w:t>draindown</w:t>
      </w:r>
      <w:proofErr w:type="spellEnd"/>
      <w:r w:rsidRPr="0040644D">
        <w:rPr>
          <w:rStyle w:val="A0"/>
          <w:rFonts w:ascii="Arial" w:hAnsi="Arial" w:cs="Arial"/>
          <w:sz w:val="20"/>
          <w:szCs w:val="20"/>
        </w:rPr>
        <w:t xml:space="preserve"> testing in accordance with VTM-100. </w:t>
      </w:r>
      <w:proofErr w:type="spellStart"/>
      <w:r w:rsidRPr="0040644D">
        <w:rPr>
          <w:rStyle w:val="A0"/>
          <w:rFonts w:ascii="Arial" w:hAnsi="Arial" w:cs="Arial"/>
          <w:sz w:val="20"/>
          <w:szCs w:val="20"/>
        </w:rPr>
        <w:t>Draindow</w:t>
      </w:r>
      <w:r>
        <w:rPr>
          <w:rStyle w:val="A0"/>
          <w:rFonts w:ascii="Arial" w:hAnsi="Arial" w:cs="Arial"/>
          <w:sz w:val="20"/>
          <w:szCs w:val="20"/>
        </w:rPr>
        <w:t>n</w:t>
      </w:r>
      <w:proofErr w:type="spellEnd"/>
      <w:r>
        <w:rPr>
          <w:rStyle w:val="A0"/>
          <w:rFonts w:ascii="Arial" w:hAnsi="Arial" w:cs="Arial"/>
          <w:sz w:val="20"/>
          <w:szCs w:val="20"/>
        </w:rPr>
        <w:t xml:space="preserve"> shall not exceed 0.3 percent.</w:t>
      </w:r>
    </w:p>
    <w:p w14:paraId="32EE93F3" w14:textId="77777777" w:rsidR="0040644D" w:rsidRPr="000222F7" w:rsidRDefault="0040644D" w:rsidP="0040644D">
      <w:pPr>
        <w:pStyle w:val="Pa1"/>
        <w:spacing w:after="240"/>
        <w:jc w:val="both"/>
        <w:outlineLvl w:val="1"/>
        <w:rPr>
          <w:rStyle w:val="A0"/>
          <w:rFonts w:ascii="Arial" w:hAnsi="Arial" w:cs="Arial"/>
          <w:bCs/>
          <w:sz w:val="20"/>
          <w:szCs w:val="20"/>
        </w:rPr>
      </w:pPr>
      <w:proofErr w:type="gramStart"/>
      <w:r>
        <w:rPr>
          <w:rStyle w:val="A0"/>
          <w:rFonts w:ascii="Arial" w:hAnsi="Arial" w:cs="Arial"/>
          <w:b/>
          <w:bCs/>
          <w:sz w:val="20"/>
          <w:szCs w:val="20"/>
        </w:rPr>
        <w:t>313.04</w:t>
      </w:r>
      <w:proofErr w:type="gramEnd"/>
      <w:r>
        <w:rPr>
          <w:rStyle w:val="A0"/>
          <w:rFonts w:ascii="Arial" w:hAnsi="Arial" w:cs="Arial"/>
          <w:b/>
          <w:bCs/>
          <w:sz w:val="20"/>
          <w:szCs w:val="20"/>
        </w:rPr>
        <w:t xml:space="preserve"> – Acceptance</w:t>
      </w:r>
    </w:p>
    <w:p w14:paraId="05AE970A"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Engineer will accept the aggregate coating in asphalt-stabilized open-graded material based upon 100 percent surface coverage of the aggregate as</w:t>
      </w:r>
      <w:r>
        <w:rPr>
          <w:rStyle w:val="A0"/>
          <w:rFonts w:ascii="Arial" w:hAnsi="Arial" w:cs="Arial"/>
          <w:sz w:val="20"/>
          <w:szCs w:val="20"/>
        </w:rPr>
        <w:t xml:space="preserve"> verified by visual inspection.</w:t>
      </w:r>
    </w:p>
    <w:p w14:paraId="15E5123C" w14:textId="77777777" w:rsidR="0040644D" w:rsidRPr="000222F7" w:rsidRDefault="0040644D" w:rsidP="0040644D">
      <w:pPr>
        <w:pStyle w:val="Pa1"/>
        <w:spacing w:after="240"/>
        <w:jc w:val="both"/>
        <w:outlineLvl w:val="1"/>
        <w:rPr>
          <w:rStyle w:val="A0"/>
          <w:rFonts w:ascii="Arial" w:hAnsi="Arial" w:cs="Arial"/>
          <w:bCs/>
          <w:sz w:val="20"/>
          <w:szCs w:val="20"/>
        </w:rPr>
      </w:pPr>
      <w:r>
        <w:rPr>
          <w:rStyle w:val="A0"/>
          <w:rFonts w:ascii="Arial" w:hAnsi="Arial" w:cs="Arial"/>
          <w:b/>
          <w:bCs/>
          <w:sz w:val="20"/>
          <w:szCs w:val="20"/>
        </w:rPr>
        <w:lastRenderedPageBreak/>
        <w:t>313.05 – Placing limitations</w:t>
      </w:r>
    </w:p>
    <w:p w14:paraId="0FF932BC"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Contractor shall not place stabilized open-graded material when weather or surface conditions are such that the material cannot be properly handled, finishe</w:t>
      </w:r>
      <w:r>
        <w:rPr>
          <w:rStyle w:val="A0"/>
          <w:rFonts w:ascii="Arial" w:hAnsi="Arial" w:cs="Arial"/>
          <w:sz w:val="20"/>
          <w:szCs w:val="20"/>
        </w:rPr>
        <w:t>d, or compacted.</w:t>
      </w:r>
    </w:p>
    <w:p w14:paraId="661C0CD8"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Asphalt-stabilized open-graded material shall be placed only when the atmospheric temperature is above 40 degrees F and the surface temperature upon which it is to be place</w:t>
      </w:r>
      <w:r>
        <w:rPr>
          <w:rStyle w:val="A0"/>
          <w:rFonts w:ascii="Arial" w:hAnsi="Arial" w:cs="Arial"/>
          <w:sz w:val="20"/>
          <w:szCs w:val="20"/>
        </w:rPr>
        <w:t>d is no less than 35 degrees F.</w:t>
      </w:r>
    </w:p>
    <w:p w14:paraId="5D259D4C"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surface upon which mixtures are to be placed s</w:t>
      </w:r>
      <w:r>
        <w:rPr>
          <w:rStyle w:val="A0"/>
          <w:rFonts w:ascii="Arial" w:hAnsi="Arial" w:cs="Arial"/>
          <w:sz w:val="20"/>
          <w:szCs w:val="20"/>
        </w:rPr>
        <w:t>hall be free of standing water.</w:t>
      </w:r>
    </w:p>
    <w:p w14:paraId="07105CDB"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Engineer will not permit water to be used to cool the asphalt</w:t>
      </w:r>
      <w:r>
        <w:rPr>
          <w:rStyle w:val="A0"/>
          <w:rFonts w:ascii="Arial" w:hAnsi="Arial" w:cs="Arial"/>
          <w:sz w:val="20"/>
          <w:szCs w:val="20"/>
        </w:rPr>
        <w:t>-stabilized open-graded course.</w:t>
      </w:r>
    </w:p>
    <w:p w14:paraId="19C6F4C9"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Contractor shall not use vibratory rollers on the asphalt</w:t>
      </w:r>
      <w:r>
        <w:rPr>
          <w:rStyle w:val="A0"/>
          <w:rFonts w:ascii="Arial" w:hAnsi="Arial" w:cs="Arial"/>
          <w:sz w:val="20"/>
          <w:szCs w:val="20"/>
        </w:rPr>
        <w:t>-stabilized open-graded course.</w:t>
      </w:r>
    </w:p>
    <w:p w14:paraId="00A9717B" w14:textId="77777777" w:rsidR="0040644D" w:rsidRPr="000222F7" w:rsidRDefault="0040644D" w:rsidP="0040644D">
      <w:pPr>
        <w:pStyle w:val="Pa1"/>
        <w:spacing w:after="240"/>
        <w:jc w:val="both"/>
        <w:outlineLvl w:val="1"/>
        <w:rPr>
          <w:rStyle w:val="A0"/>
          <w:rFonts w:ascii="Arial" w:hAnsi="Arial" w:cs="Arial"/>
          <w:bCs/>
          <w:sz w:val="20"/>
          <w:szCs w:val="20"/>
        </w:rPr>
      </w:pPr>
      <w:proofErr w:type="gramStart"/>
      <w:r w:rsidRPr="0040644D">
        <w:rPr>
          <w:rStyle w:val="A0"/>
          <w:rFonts w:ascii="Arial" w:hAnsi="Arial" w:cs="Arial"/>
          <w:b/>
          <w:bCs/>
          <w:sz w:val="20"/>
          <w:szCs w:val="20"/>
        </w:rPr>
        <w:t>313.06</w:t>
      </w:r>
      <w:proofErr w:type="gramEnd"/>
      <w:r w:rsidRPr="0040644D">
        <w:rPr>
          <w:rStyle w:val="A0"/>
          <w:rFonts w:ascii="Arial" w:hAnsi="Arial" w:cs="Arial"/>
          <w:b/>
          <w:bCs/>
          <w:sz w:val="20"/>
          <w:szCs w:val="20"/>
        </w:rPr>
        <w:t>—Procedu</w:t>
      </w:r>
      <w:r>
        <w:rPr>
          <w:rStyle w:val="A0"/>
          <w:rFonts w:ascii="Arial" w:hAnsi="Arial" w:cs="Arial"/>
          <w:b/>
          <w:bCs/>
          <w:sz w:val="20"/>
          <w:szCs w:val="20"/>
        </w:rPr>
        <w:t>res</w:t>
      </w:r>
    </w:p>
    <w:p w14:paraId="7F732078"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 xml:space="preserve">The Contractor shall not place stabilized open-graded material until the Engineer approves the surface upon which it is to be placed. Preparation shall include provision for surface drainage away from the material to prevent contamination from surface </w:t>
      </w:r>
      <w:r>
        <w:rPr>
          <w:rStyle w:val="A0"/>
          <w:rFonts w:ascii="Arial" w:hAnsi="Arial" w:cs="Arial"/>
          <w:sz w:val="20"/>
          <w:szCs w:val="20"/>
        </w:rPr>
        <w:t>water in the event of rainfall.</w:t>
      </w:r>
    </w:p>
    <w:p w14:paraId="7EB1A2E9" w14:textId="0E31DD40"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 xml:space="preserve">The Contractor shall prevent contamination of the stabilized open-graded material. Material that has been contaminated shall be removed and replaced promptly by the Contractor at no additional expense to the Department. Likely indications of contamination include, but are not limited to, the surface being clogged by dirt or other foreign material or observable material damaged as in the cases </w:t>
      </w:r>
      <w:r>
        <w:rPr>
          <w:rStyle w:val="A0"/>
          <w:rFonts w:ascii="Arial" w:hAnsi="Arial" w:cs="Arial"/>
          <w:sz w:val="20"/>
          <w:szCs w:val="20"/>
        </w:rPr>
        <w:t>of loss of material stability.</w:t>
      </w:r>
    </w:p>
    <w:p w14:paraId="7FC3D208"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 xml:space="preserve">The finished surface of the stabilized open-graded material shall be uniform and shall not vary at any point more than 0.5 inch above or below the grade shown on the plans </w:t>
      </w:r>
      <w:r>
        <w:rPr>
          <w:rStyle w:val="A0"/>
          <w:rFonts w:ascii="Arial" w:hAnsi="Arial" w:cs="Arial"/>
          <w:sz w:val="20"/>
          <w:szCs w:val="20"/>
        </w:rPr>
        <w:t>or established by the Engineer.</w:t>
      </w:r>
    </w:p>
    <w:p w14:paraId="165D73D2"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Contractor shall remove and replace stabilized open-graded material with a surface higher than 0.5 inch above the grade shown on the plans or established by the Engineer with material within the proper tolerance. If permitted by the Engineer, high spots may be removed to within specified tolerance by any method that does not produce contaminating fines or damage the base to remain in place, except that the Eng</w:t>
      </w:r>
      <w:r>
        <w:rPr>
          <w:rStyle w:val="A0"/>
          <w:rFonts w:ascii="Arial" w:hAnsi="Arial" w:cs="Arial"/>
          <w:sz w:val="20"/>
          <w:szCs w:val="20"/>
        </w:rPr>
        <w:t>ineer will not permit grinding.</w:t>
      </w:r>
    </w:p>
    <w:p w14:paraId="1A30FCF5"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Contractor shall remove and replace stabilized open-graded material with a surface lower than 0.5 inch below the grade shown on the plans or established by the Engineer with stabilized open-graded material that complies with these specifications to the proper tolerance. The Engineer may permit low areas to be filled with the next pavement course in the same operation in which the pavement is placed provided the next pavement course is provided at no add</w:t>
      </w:r>
      <w:r>
        <w:rPr>
          <w:rStyle w:val="A0"/>
          <w:rFonts w:ascii="Arial" w:hAnsi="Arial" w:cs="Arial"/>
          <w:sz w:val="20"/>
          <w:szCs w:val="20"/>
        </w:rPr>
        <w:t>itional cost to the Department.</w:t>
      </w:r>
    </w:p>
    <w:p w14:paraId="64650949" w14:textId="2A018F15"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Contractor shall not use the open-graded course as a haul road or storage area. Construction traffic will not be permitted on the open-graded course except for equipment required to place the next layer. The Engineer will not permit haul vehicles that are overweight or that have not had a legal load determination on the open-graded d</w:t>
      </w:r>
      <w:r>
        <w:rPr>
          <w:rStyle w:val="A0"/>
          <w:rFonts w:ascii="Arial" w:hAnsi="Arial" w:cs="Arial"/>
          <w:sz w:val="20"/>
          <w:szCs w:val="20"/>
        </w:rPr>
        <w:t>rainage course for any purpose.</w:t>
      </w:r>
    </w:p>
    <w:p w14:paraId="13221DE6" w14:textId="18DAE043"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The Contractor shall place asphalt-stabilized open-graded material in one layer by approved equipment conforming to Section 315.03. Compaction shall begin when the internal mat temperature is approximately 150 degrees F to 200 degrees F. The Contractor shall employ a static, steel, two-wheel roller to compact the material in one to three passes in an established pattern that has been approved by the Engineer. An 8- to 10-ton roller is recommended for such use. The mat shall be compacted sufficiently to support the placement of the next layer but not to the point that it is no longer free draining or</w:t>
      </w:r>
      <w:r>
        <w:rPr>
          <w:rStyle w:val="A0"/>
          <w:rFonts w:ascii="Arial" w:hAnsi="Arial" w:cs="Arial"/>
          <w:sz w:val="20"/>
          <w:szCs w:val="20"/>
        </w:rPr>
        <w:t xml:space="preserve"> that the aggregate is crushed.</w:t>
      </w:r>
    </w:p>
    <w:p w14:paraId="1EE1B502"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lastRenderedPageBreak/>
        <w:t xml:space="preserve">The Engineer will not permit placement of the next higher pavement layer if any damage to the stabilized open-graded material is visible. Construction of the next layer shall not proceed </w:t>
      </w:r>
      <w:r>
        <w:rPr>
          <w:rStyle w:val="A0"/>
          <w:rFonts w:ascii="Arial" w:hAnsi="Arial" w:cs="Arial"/>
          <w:sz w:val="20"/>
          <w:szCs w:val="20"/>
        </w:rPr>
        <w:t>until directed by the Engineer.</w:t>
      </w:r>
    </w:p>
    <w:p w14:paraId="53E9C6E5" w14:textId="77777777" w:rsidR="0040644D" w:rsidRPr="000222F7" w:rsidRDefault="0040644D" w:rsidP="0040644D">
      <w:pPr>
        <w:pStyle w:val="Pa1"/>
        <w:spacing w:after="240"/>
        <w:jc w:val="both"/>
        <w:outlineLvl w:val="1"/>
        <w:rPr>
          <w:rStyle w:val="A0"/>
          <w:rFonts w:ascii="Arial" w:hAnsi="Arial" w:cs="Arial"/>
          <w:bCs/>
          <w:sz w:val="20"/>
          <w:szCs w:val="20"/>
        </w:rPr>
      </w:pPr>
      <w:proofErr w:type="gramStart"/>
      <w:r>
        <w:rPr>
          <w:rStyle w:val="A0"/>
          <w:rFonts w:ascii="Arial" w:hAnsi="Arial" w:cs="Arial"/>
          <w:b/>
          <w:bCs/>
          <w:sz w:val="20"/>
          <w:szCs w:val="20"/>
        </w:rPr>
        <w:t>313.07</w:t>
      </w:r>
      <w:proofErr w:type="gramEnd"/>
      <w:r>
        <w:rPr>
          <w:rStyle w:val="A0"/>
          <w:rFonts w:ascii="Arial" w:hAnsi="Arial" w:cs="Arial"/>
          <w:b/>
          <w:bCs/>
          <w:sz w:val="20"/>
          <w:szCs w:val="20"/>
        </w:rPr>
        <w:t xml:space="preserve"> – Measurement and Payment</w:t>
      </w:r>
    </w:p>
    <w:p w14:paraId="4A802FBC" w14:textId="77777777" w:rsidR="0040644D" w:rsidRDefault="0040644D" w:rsidP="0040644D">
      <w:pPr>
        <w:pStyle w:val="Pa1"/>
        <w:spacing w:after="240"/>
        <w:jc w:val="both"/>
        <w:rPr>
          <w:rStyle w:val="A0"/>
          <w:rFonts w:ascii="Arial" w:hAnsi="Arial" w:cs="Arial"/>
          <w:sz w:val="20"/>
          <w:szCs w:val="20"/>
        </w:rPr>
      </w:pPr>
      <w:r w:rsidRPr="0040644D">
        <w:rPr>
          <w:rStyle w:val="A0"/>
          <w:rFonts w:ascii="Arial" w:hAnsi="Arial" w:cs="Arial"/>
          <w:sz w:val="20"/>
          <w:szCs w:val="20"/>
        </w:rPr>
        <w:t xml:space="preserve">Asphalt-stabilized open-graded material will be measured in tons and will be paid for at the contract unit price per ton, complete-in-place. This price shall be full compensation for furnishing and placing asphalt material including aggregate, lime, or </w:t>
      </w:r>
      <w:r>
        <w:rPr>
          <w:rStyle w:val="A0"/>
          <w:rFonts w:ascii="Arial" w:hAnsi="Arial" w:cs="Arial"/>
          <w:sz w:val="20"/>
          <w:szCs w:val="20"/>
        </w:rPr>
        <w:t>other anti-stripping admixture.</w:t>
      </w:r>
    </w:p>
    <w:p w14:paraId="32B41265" w14:textId="77777777" w:rsidR="0040644D" w:rsidRDefault="0040644D" w:rsidP="0040644D">
      <w:pPr>
        <w:pStyle w:val="Pa1"/>
        <w:spacing w:after="240"/>
        <w:jc w:val="both"/>
        <w:rPr>
          <w:rStyle w:val="A0"/>
          <w:rFonts w:ascii="Arial" w:hAnsi="Arial" w:cs="Arial"/>
          <w:sz w:val="20"/>
          <w:szCs w:val="20"/>
        </w:rPr>
      </w:pPr>
      <w:r>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3780"/>
        <w:gridCol w:w="1260"/>
      </w:tblGrid>
      <w:tr w:rsidR="0040644D" w14:paraId="3A59DF09" w14:textId="77777777" w:rsidTr="0040644D">
        <w:tc>
          <w:tcPr>
            <w:tcW w:w="3780" w:type="dxa"/>
          </w:tcPr>
          <w:p w14:paraId="41327107" w14:textId="77777777" w:rsidR="0040644D" w:rsidRDefault="0040644D" w:rsidP="0040644D">
            <w:pPr>
              <w:pStyle w:val="Default"/>
            </w:pPr>
            <w:r w:rsidRPr="0040644D">
              <w:rPr>
                <w:rStyle w:val="A0"/>
                <w:rFonts w:ascii="Arial" w:hAnsi="Arial" w:cs="Arial"/>
                <w:b/>
                <w:bCs/>
                <w:color w:val="auto"/>
                <w:sz w:val="20"/>
                <w:szCs w:val="20"/>
              </w:rPr>
              <w:t>Pay Item</w:t>
            </w:r>
          </w:p>
        </w:tc>
        <w:tc>
          <w:tcPr>
            <w:tcW w:w="1260" w:type="dxa"/>
          </w:tcPr>
          <w:p w14:paraId="4726E632" w14:textId="77777777" w:rsidR="0040644D" w:rsidRDefault="0040644D" w:rsidP="0040644D">
            <w:pPr>
              <w:pStyle w:val="Default"/>
            </w:pPr>
            <w:r w:rsidRPr="0040644D">
              <w:rPr>
                <w:rStyle w:val="A0"/>
                <w:rFonts w:ascii="Arial" w:hAnsi="Arial" w:cs="Arial"/>
                <w:b/>
                <w:bCs/>
                <w:color w:val="auto"/>
                <w:sz w:val="20"/>
                <w:szCs w:val="20"/>
              </w:rPr>
              <w:t>Pay Unit</w:t>
            </w:r>
          </w:p>
        </w:tc>
      </w:tr>
      <w:tr w:rsidR="0040644D" w14:paraId="21B95EC4" w14:textId="77777777" w:rsidTr="0040644D">
        <w:tc>
          <w:tcPr>
            <w:tcW w:w="3780" w:type="dxa"/>
          </w:tcPr>
          <w:p w14:paraId="24CE3210" w14:textId="77777777" w:rsidR="0040644D" w:rsidRDefault="0040644D" w:rsidP="0040644D">
            <w:pPr>
              <w:pStyle w:val="Default"/>
            </w:pPr>
            <w:r w:rsidRPr="0040644D">
              <w:rPr>
                <w:rStyle w:val="A0"/>
                <w:rFonts w:ascii="Arial" w:hAnsi="Arial" w:cs="Arial"/>
                <w:color w:val="auto"/>
                <w:sz w:val="20"/>
                <w:szCs w:val="20"/>
              </w:rPr>
              <w:t>Asphalt-stabilized open-graded material</w:t>
            </w:r>
          </w:p>
        </w:tc>
        <w:tc>
          <w:tcPr>
            <w:tcW w:w="1260" w:type="dxa"/>
          </w:tcPr>
          <w:p w14:paraId="156368D5" w14:textId="77777777" w:rsidR="0040644D" w:rsidRDefault="0040644D" w:rsidP="0040644D">
            <w:pPr>
              <w:pStyle w:val="Default"/>
            </w:pPr>
            <w:r w:rsidRPr="0040644D">
              <w:rPr>
                <w:rStyle w:val="A0"/>
                <w:rFonts w:ascii="Arial" w:hAnsi="Arial" w:cs="Arial"/>
                <w:color w:val="auto"/>
                <w:sz w:val="20"/>
                <w:szCs w:val="20"/>
              </w:rPr>
              <w:t>Ton</w:t>
            </w:r>
          </w:p>
        </w:tc>
      </w:tr>
      <w:bookmarkEnd w:id="0"/>
    </w:tbl>
    <w:p w14:paraId="5F753F32" w14:textId="77777777" w:rsidR="0040644D" w:rsidRPr="0040644D" w:rsidRDefault="0040644D" w:rsidP="0040644D">
      <w:pPr>
        <w:pStyle w:val="Default"/>
        <w:rPr>
          <w:rFonts w:ascii="Arial" w:hAnsi="Arial" w:cs="Arial"/>
          <w:sz w:val="20"/>
          <w:szCs w:val="20"/>
        </w:rPr>
      </w:pPr>
    </w:p>
    <w:sectPr w:rsidR="0040644D" w:rsidRPr="00406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17BA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222F7"/>
    <w:rsid w:val="002C3456"/>
    <w:rsid w:val="0040644D"/>
    <w:rsid w:val="0044038C"/>
    <w:rsid w:val="00743FC4"/>
    <w:rsid w:val="007F62B5"/>
    <w:rsid w:val="008518A1"/>
    <w:rsid w:val="00956CEC"/>
    <w:rsid w:val="00957FF2"/>
    <w:rsid w:val="00AE2883"/>
    <w:rsid w:val="00BC064E"/>
    <w:rsid w:val="00D97B71"/>
    <w:rsid w:val="00E0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67FFA"/>
  <w15:docId w15:val="{91BB06D7-3350-4CE6-84A3-D005BDF70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0644D"/>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0644D"/>
    <w:pPr>
      <w:spacing w:line="241" w:lineRule="atLeast"/>
    </w:pPr>
    <w:rPr>
      <w:rFonts w:cstheme="minorBidi"/>
      <w:color w:val="auto"/>
    </w:rPr>
  </w:style>
  <w:style w:type="character" w:customStyle="1" w:styleId="A2">
    <w:name w:val="A2"/>
    <w:uiPriority w:val="99"/>
    <w:rsid w:val="0040644D"/>
    <w:rPr>
      <w:rFonts w:cs="TimesNewRomanPS"/>
      <w:b/>
      <w:bCs/>
      <w:color w:val="000000"/>
      <w:sz w:val="20"/>
      <w:szCs w:val="20"/>
    </w:rPr>
  </w:style>
  <w:style w:type="paragraph" w:customStyle="1" w:styleId="Pa1">
    <w:name w:val="Pa1"/>
    <w:basedOn w:val="Default"/>
    <w:next w:val="Default"/>
    <w:uiPriority w:val="99"/>
    <w:rsid w:val="0040644D"/>
    <w:pPr>
      <w:spacing w:line="241" w:lineRule="atLeast"/>
    </w:pPr>
    <w:rPr>
      <w:rFonts w:cstheme="minorBidi"/>
      <w:color w:val="auto"/>
    </w:rPr>
  </w:style>
  <w:style w:type="character" w:customStyle="1" w:styleId="A0">
    <w:name w:val="A0"/>
    <w:uiPriority w:val="99"/>
    <w:rsid w:val="0040644D"/>
    <w:rPr>
      <w:rFonts w:cs="TimesNewRomanPS"/>
      <w:color w:val="000000"/>
      <w:sz w:val="18"/>
      <w:szCs w:val="18"/>
    </w:rPr>
  </w:style>
  <w:style w:type="paragraph" w:customStyle="1" w:styleId="Pa4">
    <w:name w:val="Pa4"/>
    <w:basedOn w:val="Default"/>
    <w:next w:val="Default"/>
    <w:uiPriority w:val="99"/>
    <w:rsid w:val="0040644D"/>
    <w:pPr>
      <w:spacing w:line="241" w:lineRule="atLeast"/>
    </w:pPr>
    <w:rPr>
      <w:rFonts w:cstheme="minorBidi"/>
      <w:color w:val="auto"/>
    </w:rPr>
  </w:style>
  <w:style w:type="paragraph" w:customStyle="1" w:styleId="Pa2">
    <w:name w:val="Pa2"/>
    <w:basedOn w:val="Default"/>
    <w:next w:val="Default"/>
    <w:uiPriority w:val="99"/>
    <w:rsid w:val="0040644D"/>
    <w:pPr>
      <w:spacing w:line="241" w:lineRule="atLeast"/>
    </w:pPr>
    <w:rPr>
      <w:rFonts w:cstheme="minorBidi"/>
      <w:color w:val="auto"/>
    </w:rPr>
  </w:style>
  <w:style w:type="paragraph" w:customStyle="1" w:styleId="Pa6">
    <w:name w:val="Pa6"/>
    <w:basedOn w:val="Default"/>
    <w:next w:val="Default"/>
    <w:uiPriority w:val="99"/>
    <w:rsid w:val="0040644D"/>
    <w:pPr>
      <w:spacing w:line="241" w:lineRule="atLeast"/>
    </w:pPr>
    <w:rPr>
      <w:rFonts w:cstheme="minorBidi"/>
      <w:color w:val="auto"/>
    </w:rPr>
  </w:style>
  <w:style w:type="table" w:styleId="TableGrid">
    <w:name w:val="Table Grid"/>
    <w:basedOn w:val="TableNormal"/>
    <w:uiPriority w:val="59"/>
    <w:rsid w:val="004064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Default"/>
    <w:next w:val="Default"/>
    <w:uiPriority w:val="99"/>
    <w:rsid w:val="0040644D"/>
    <w:pPr>
      <w:spacing w:line="241" w:lineRule="atLeast"/>
    </w:pPr>
    <w:rPr>
      <w:rFonts w:cstheme="minorBidi"/>
      <w:color w:val="auto"/>
    </w:rPr>
  </w:style>
  <w:style w:type="paragraph" w:customStyle="1" w:styleId="Pa5">
    <w:name w:val="Pa5"/>
    <w:basedOn w:val="Default"/>
    <w:next w:val="Default"/>
    <w:uiPriority w:val="99"/>
    <w:rsid w:val="0040644D"/>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BK313-002020-00</Specification_x0020_Number>
    <Status xmlns="2328571d-b9d5-471b-8d96-2ccb743ec3d4">Active</Status>
    <Usage_x0020_Guidelines xmlns="2328571d-b9d5-471b-8d96-2ccb743ec3d4">SS313-002016-01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C1CE9B-13FE-4576-9652-F4F3DC930558}"/>
</file>

<file path=customXml/itemProps2.xml><?xml version="1.0" encoding="utf-8"?>
<ds:datastoreItem xmlns:ds="http://schemas.openxmlformats.org/officeDocument/2006/customXml" ds:itemID="{0084BFD0-853B-4989-AEF1-29D2F9C51695}"/>
</file>

<file path=customXml/itemProps3.xml><?xml version="1.0" encoding="utf-8"?>
<ds:datastoreItem xmlns:ds="http://schemas.openxmlformats.org/officeDocument/2006/customXml" ds:itemID="{1B45B1FF-3F41-4586-9B9E-56D0DE74A4EC}"/>
</file>

<file path=docProps/app.xml><?xml version="1.0" encoding="utf-8"?>
<Properties xmlns="http://schemas.openxmlformats.org/officeDocument/2006/extended-properties" xmlns:vt="http://schemas.openxmlformats.org/officeDocument/2006/docPropsVTypes">
  <Template>Normal</Template>
  <TotalTime>2</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Asphalt-Stabilized Open-Graded Material</vt:lpstr>
    </vt:vector>
  </TitlesOfParts>
  <Company>Virginia IT Infrastructure Partnership</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Asphalt-Stabilized Open-Graded Material</dc:title>
  <dc:creator>douglas.mcavoy</dc:creator>
  <cp:lastModifiedBy>Changes</cp:lastModifiedBy>
  <cp:revision>4</cp:revision>
  <dcterms:created xsi:type="dcterms:W3CDTF">2020-01-02T15:16:00Z</dcterms:created>
  <dcterms:modified xsi:type="dcterms:W3CDTF">2020-01-02T18:39:00Z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7400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11eb7694-24a2-4ea3-9449-3c1a4d20b905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/insidevdot/div/sc/Design/Specs/Book|11eb7694-24a2-4ea3-9449-3c1a4d20b905</vt:lpwstr>
  </property>
  <property fmtid="{D5CDD505-2E9C-101B-9397-08002B2CF9AE}" pid="12" name="_dlc_DocIdUrl">
    <vt:lpwstr>https://insidevdot.cov.virginia.gov/div/sc/Design/Specs/Book/_layouts/DocIdRedir.aspx?ID=%2finsidevdot%2fdiv%2fsc%2fDesign%2fSpecs%2fBook%7c11eb7694-24a2-4ea3-9449-3c1a4d20b905, /insidevdot/div/sc/Design/Specs/Book|11eb7694-24a2-4ea3-9449-3c1a4d20b905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BK313-002016-00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313</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