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9DBFCD" w14:textId="18F7F31B" w:rsidR="00DB7AF9" w:rsidRPr="000B1522" w:rsidRDefault="00DB7AF9" w:rsidP="006F4A03">
      <w:pPr>
        <w:pStyle w:val="Pa0"/>
        <w:spacing w:after="240" w:line="240" w:lineRule="auto"/>
        <w:jc w:val="center"/>
        <w:outlineLvl w:val="0"/>
        <w:rPr>
          <w:rFonts w:ascii="Arial" w:hAnsi="Arial" w:cs="Arial"/>
          <w:sz w:val="20"/>
          <w:szCs w:val="20"/>
        </w:rPr>
      </w:pPr>
      <w:r>
        <w:rPr>
          <w:rStyle w:val="A2"/>
          <w:rFonts w:ascii="Arial" w:hAnsi="Arial" w:cs="Arial"/>
        </w:rPr>
        <w:t xml:space="preserve">SECTION 317 – </w:t>
      </w:r>
      <w:r w:rsidRPr="000B1522">
        <w:rPr>
          <w:rStyle w:val="A2"/>
          <w:rFonts w:ascii="Arial" w:hAnsi="Arial" w:cs="Arial"/>
        </w:rPr>
        <w:t>STONE MATRIX ASPHALT CONCRETE PLACEMENT</w:t>
      </w:r>
    </w:p>
    <w:p w14:paraId="61D40BDD" w14:textId="25D93A8C" w:rsidR="00DB7AF9" w:rsidRPr="000B1522" w:rsidRDefault="00DB7AF9" w:rsidP="006F4A03">
      <w:pPr>
        <w:pStyle w:val="Pa1"/>
        <w:spacing w:after="240" w:line="240" w:lineRule="auto"/>
        <w:jc w:val="both"/>
        <w:outlineLvl w:val="1"/>
        <w:rPr>
          <w:rFonts w:ascii="Arial" w:hAnsi="Arial" w:cs="Arial"/>
          <w:sz w:val="20"/>
          <w:szCs w:val="20"/>
        </w:rPr>
      </w:pPr>
      <w:r>
        <w:rPr>
          <w:rStyle w:val="A0"/>
          <w:rFonts w:ascii="Arial" w:hAnsi="Arial" w:cs="Arial"/>
          <w:b/>
          <w:bCs/>
          <w:sz w:val="20"/>
          <w:szCs w:val="20"/>
        </w:rPr>
        <w:t xml:space="preserve">317.01 – </w:t>
      </w:r>
      <w:r w:rsidRPr="000B1522">
        <w:rPr>
          <w:rStyle w:val="A0"/>
          <w:rFonts w:ascii="Arial" w:hAnsi="Arial" w:cs="Arial"/>
          <w:b/>
          <w:bCs/>
          <w:sz w:val="20"/>
          <w:szCs w:val="20"/>
        </w:rPr>
        <w:t>Description</w:t>
      </w:r>
    </w:p>
    <w:p w14:paraId="1ED808CF" w14:textId="77777777" w:rsidR="00DB7AF9" w:rsidRDefault="00DB7AF9" w:rsidP="006F4A03">
      <w:pPr>
        <w:pStyle w:val="Pa1"/>
        <w:spacing w:after="240" w:line="240" w:lineRule="auto"/>
        <w:jc w:val="both"/>
        <w:rPr>
          <w:rStyle w:val="A0"/>
          <w:rFonts w:ascii="Arial" w:hAnsi="Arial" w:cs="Arial"/>
          <w:sz w:val="20"/>
          <w:szCs w:val="20"/>
        </w:rPr>
      </w:pPr>
      <w:r w:rsidRPr="000B1522">
        <w:rPr>
          <w:rStyle w:val="A0"/>
          <w:rFonts w:ascii="Arial" w:hAnsi="Arial" w:cs="Arial"/>
          <w:sz w:val="20"/>
          <w:szCs w:val="20"/>
        </w:rPr>
        <w:t>This specification covers the furnishing, installation, and acceptance criteria for constructing stone matrix asphalt (SMA) concrete pavement. SMA shall be in accordance with t</w:t>
      </w:r>
      <w:r>
        <w:rPr>
          <w:rStyle w:val="A0"/>
          <w:rFonts w:ascii="Arial" w:hAnsi="Arial" w:cs="Arial"/>
          <w:sz w:val="20"/>
          <w:szCs w:val="20"/>
        </w:rPr>
        <w:t>hese specifications and Section 315.</w:t>
      </w:r>
    </w:p>
    <w:p w14:paraId="60D6B9C6" w14:textId="77777777" w:rsidR="00DB7AF9" w:rsidRPr="00DC2BE2" w:rsidRDefault="00DB7AF9" w:rsidP="006F4A03">
      <w:pPr>
        <w:pStyle w:val="Pa1"/>
        <w:spacing w:after="240" w:line="240" w:lineRule="auto"/>
        <w:jc w:val="both"/>
        <w:outlineLvl w:val="1"/>
        <w:rPr>
          <w:rStyle w:val="A0"/>
          <w:rFonts w:ascii="Arial" w:hAnsi="Arial" w:cs="Arial"/>
          <w:bCs/>
          <w:sz w:val="20"/>
          <w:szCs w:val="20"/>
        </w:rPr>
      </w:pPr>
      <w:r>
        <w:rPr>
          <w:rStyle w:val="A0"/>
          <w:rFonts w:ascii="Arial" w:hAnsi="Arial" w:cs="Arial"/>
          <w:b/>
          <w:bCs/>
          <w:sz w:val="20"/>
          <w:szCs w:val="20"/>
        </w:rPr>
        <w:t>317.02 – Material</w:t>
      </w:r>
      <w:r w:rsidRPr="00DC2BE2">
        <w:rPr>
          <w:rStyle w:val="A0"/>
          <w:rFonts w:ascii="Arial" w:hAnsi="Arial" w:cs="Arial"/>
          <w:b/>
          <w:bCs/>
          <w:sz w:val="20"/>
          <w:szCs w:val="20"/>
        </w:rPr>
        <w:t>s</w:t>
      </w:r>
    </w:p>
    <w:p w14:paraId="28A1D332" w14:textId="77777777" w:rsidR="00DB7AF9" w:rsidRDefault="00DB7AF9" w:rsidP="006F4A03">
      <w:pPr>
        <w:pStyle w:val="Pa1"/>
        <w:numPr>
          <w:ilvl w:val="0"/>
          <w:numId w:val="1"/>
        </w:numPr>
        <w:spacing w:after="240" w:line="240" w:lineRule="auto"/>
        <w:jc w:val="both"/>
        <w:rPr>
          <w:rStyle w:val="A0"/>
          <w:rFonts w:ascii="Arial" w:hAnsi="Arial" w:cs="Arial"/>
          <w:sz w:val="20"/>
          <w:szCs w:val="20"/>
        </w:rPr>
      </w:pPr>
      <w:r w:rsidRPr="000B1522">
        <w:rPr>
          <w:rStyle w:val="A0"/>
          <w:rFonts w:ascii="Arial" w:hAnsi="Arial" w:cs="Arial"/>
          <w:b/>
          <w:bCs/>
          <w:sz w:val="20"/>
          <w:szCs w:val="20"/>
        </w:rPr>
        <w:t>Coarse aggregate</w:t>
      </w:r>
      <w:r w:rsidRPr="00DC2BE2">
        <w:rPr>
          <w:rStyle w:val="A0"/>
          <w:rFonts w:ascii="Arial" w:hAnsi="Arial" w:cs="Arial"/>
          <w:bCs/>
          <w:sz w:val="20"/>
          <w:szCs w:val="20"/>
        </w:rPr>
        <w:t xml:space="preserve"> </w:t>
      </w:r>
      <w:r w:rsidRPr="000B1522">
        <w:rPr>
          <w:rStyle w:val="A0"/>
          <w:rFonts w:ascii="Arial" w:hAnsi="Arial" w:cs="Arial"/>
          <w:sz w:val="20"/>
          <w:szCs w:val="20"/>
        </w:rPr>
        <w:t>shal</w:t>
      </w:r>
      <w:r>
        <w:rPr>
          <w:rStyle w:val="A0"/>
          <w:rFonts w:ascii="Arial" w:hAnsi="Arial" w:cs="Arial"/>
          <w:sz w:val="20"/>
          <w:szCs w:val="20"/>
        </w:rPr>
        <w:t>l conform to Section 248.02(a).</w:t>
      </w:r>
    </w:p>
    <w:p w14:paraId="632FFF14" w14:textId="77777777" w:rsidR="00DB7AF9" w:rsidRDefault="00DB7AF9" w:rsidP="006F4A03">
      <w:pPr>
        <w:pStyle w:val="Pa1"/>
        <w:numPr>
          <w:ilvl w:val="0"/>
          <w:numId w:val="1"/>
        </w:numPr>
        <w:spacing w:after="240" w:line="240" w:lineRule="auto"/>
        <w:jc w:val="both"/>
        <w:rPr>
          <w:rStyle w:val="A0"/>
          <w:rFonts w:ascii="Arial" w:hAnsi="Arial" w:cs="Arial"/>
          <w:sz w:val="20"/>
          <w:szCs w:val="20"/>
        </w:rPr>
      </w:pPr>
      <w:r w:rsidRPr="000B1522">
        <w:rPr>
          <w:rStyle w:val="A0"/>
          <w:rFonts w:ascii="Arial" w:hAnsi="Arial" w:cs="Arial"/>
          <w:b/>
          <w:bCs/>
          <w:color w:val="auto"/>
          <w:sz w:val="20"/>
          <w:szCs w:val="20"/>
        </w:rPr>
        <w:t>Fine aggregate</w:t>
      </w:r>
      <w:r w:rsidRPr="00DC2BE2">
        <w:rPr>
          <w:rStyle w:val="A0"/>
          <w:rFonts w:ascii="Arial" w:hAnsi="Arial" w:cs="Arial"/>
          <w:bCs/>
          <w:color w:val="auto"/>
          <w:sz w:val="20"/>
          <w:szCs w:val="20"/>
        </w:rPr>
        <w:t xml:space="preserve"> </w:t>
      </w:r>
      <w:r w:rsidRPr="000B1522">
        <w:rPr>
          <w:rStyle w:val="A0"/>
          <w:rFonts w:ascii="Arial" w:hAnsi="Arial" w:cs="Arial"/>
          <w:color w:val="auto"/>
          <w:sz w:val="20"/>
          <w:szCs w:val="20"/>
        </w:rPr>
        <w:t>shal</w:t>
      </w:r>
      <w:r>
        <w:rPr>
          <w:rStyle w:val="A0"/>
          <w:rFonts w:ascii="Arial" w:hAnsi="Arial" w:cs="Arial"/>
          <w:sz w:val="20"/>
          <w:szCs w:val="20"/>
        </w:rPr>
        <w:t>l conform to Section 248.02(b).</w:t>
      </w:r>
    </w:p>
    <w:p w14:paraId="43597AE8" w14:textId="77777777" w:rsidR="00DB7AF9" w:rsidRDefault="00DB7AF9" w:rsidP="006F4A03">
      <w:pPr>
        <w:pStyle w:val="Pa1"/>
        <w:numPr>
          <w:ilvl w:val="0"/>
          <w:numId w:val="1"/>
        </w:numPr>
        <w:spacing w:after="240" w:line="240" w:lineRule="auto"/>
        <w:jc w:val="both"/>
        <w:rPr>
          <w:rStyle w:val="A0"/>
          <w:rFonts w:ascii="Arial" w:hAnsi="Arial" w:cs="Arial"/>
          <w:sz w:val="20"/>
          <w:szCs w:val="20"/>
        </w:rPr>
      </w:pPr>
      <w:r w:rsidRPr="000B1522">
        <w:rPr>
          <w:rStyle w:val="A0"/>
          <w:rFonts w:ascii="Arial" w:hAnsi="Arial" w:cs="Arial"/>
          <w:b/>
          <w:bCs/>
          <w:color w:val="auto"/>
          <w:sz w:val="20"/>
          <w:szCs w:val="20"/>
        </w:rPr>
        <w:t>Asphalt binder</w:t>
      </w:r>
      <w:r w:rsidRPr="00DC2BE2">
        <w:rPr>
          <w:rStyle w:val="A0"/>
          <w:rFonts w:ascii="Arial" w:hAnsi="Arial" w:cs="Arial"/>
          <w:bCs/>
          <w:color w:val="auto"/>
          <w:sz w:val="20"/>
          <w:szCs w:val="20"/>
        </w:rPr>
        <w:t xml:space="preserve"> </w:t>
      </w:r>
      <w:r w:rsidRPr="000B1522">
        <w:rPr>
          <w:rStyle w:val="A0"/>
          <w:rFonts w:ascii="Arial" w:hAnsi="Arial" w:cs="Arial"/>
          <w:color w:val="auto"/>
          <w:sz w:val="20"/>
          <w:szCs w:val="20"/>
        </w:rPr>
        <w:t>shal</w:t>
      </w:r>
      <w:r>
        <w:rPr>
          <w:rStyle w:val="A0"/>
          <w:rFonts w:ascii="Arial" w:hAnsi="Arial" w:cs="Arial"/>
          <w:sz w:val="20"/>
          <w:szCs w:val="20"/>
        </w:rPr>
        <w:t>l conform to Section 248.02(c).</w:t>
      </w:r>
    </w:p>
    <w:p w14:paraId="5ACCEB8C" w14:textId="77777777" w:rsidR="00DB7AF9" w:rsidRDefault="00DB7AF9" w:rsidP="006F4A03">
      <w:pPr>
        <w:pStyle w:val="Pa1"/>
        <w:numPr>
          <w:ilvl w:val="0"/>
          <w:numId w:val="1"/>
        </w:numPr>
        <w:spacing w:after="240" w:line="240" w:lineRule="auto"/>
        <w:jc w:val="both"/>
        <w:rPr>
          <w:rStyle w:val="A0"/>
          <w:rFonts w:ascii="Arial" w:hAnsi="Arial" w:cs="Arial"/>
          <w:sz w:val="20"/>
          <w:szCs w:val="20"/>
        </w:rPr>
      </w:pPr>
      <w:r w:rsidRPr="000B1522">
        <w:rPr>
          <w:rStyle w:val="A0"/>
          <w:rFonts w:ascii="Arial" w:hAnsi="Arial" w:cs="Arial"/>
          <w:b/>
          <w:bCs/>
          <w:color w:val="auto"/>
          <w:sz w:val="20"/>
          <w:szCs w:val="20"/>
        </w:rPr>
        <w:t>Mineral filler</w:t>
      </w:r>
      <w:r w:rsidRPr="00DC2BE2">
        <w:rPr>
          <w:rStyle w:val="A0"/>
          <w:rFonts w:ascii="Arial" w:hAnsi="Arial" w:cs="Arial"/>
          <w:bCs/>
          <w:color w:val="auto"/>
          <w:sz w:val="20"/>
          <w:szCs w:val="20"/>
        </w:rPr>
        <w:t xml:space="preserve"> </w:t>
      </w:r>
      <w:r w:rsidRPr="000B1522">
        <w:rPr>
          <w:rStyle w:val="A0"/>
          <w:rFonts w:ascii="Arial" w:hAnsi="Arial" w:cs="Arial"/>
          <w:color w:val="auto"/>
          <w:sz w:val="20"/>
          <w:szCs w:val="20"/>
        </w:rPr>
        <w:t>shal</w:t>
      </w:r>
      <w:r>
        <w:rPr>
          <w:rStyle w:val="A0"/>
          <w:rFonts w:ascii="Arial" w:hAnsi="Arial" w:cs="Arial"/>
          <w:sz w:val="20"/>
          <w:szCs w:val="20"/>
        </w:rPr>
        <w:t>l conform to Section 248.02(d).</w:t>
      </w:r>
    </w:p>
    <w:p w14:paraId="02754ED4" w14:textId="77777777" w:rsidR="00DB7AF9" w:rsidRDefault="00DB7AF9" w:rsidP="006F4A03">
      <w:pPr>
        <w:pStyle w:val="Pa1"/>
        <w:numPr>
          <w:ilvl w:val="0"/>
          <w:numId w:val="1"/>
        </w:numPr>
        <w:spacing w:after="240" w:line="240" w:lineRule="auto"/>
        <w:jc w:val="both"/>
        <w:rPr>
          <w:rStyle w:val="A0"/>
          <w:rFonts w:ascii="Arial" w:hAnsi="Arial" w:cs="Arial"/>
          <w:sz w:val="20"/>
          <w:szCs w:val="20"/>
        </w:rPr>
      </w:pPr>
      <w:r w:rsidRPr="000B1522">
        <w:rPr>
          <w:rStyle w:val="A0"/>
          <w:rFonts w:ascii="Arial" w:hAnsi="Arial" w:cs="Arial"/>
          <w:b/>
          <w:bCs/>
          <w:color w:val="auto"/>
          <w:sz w:val="20"/>
          <w:szCs w:val="20"/>
        </w:rPr>
        <w:t>Fiber additive</w:t>
      </w:r>
      <w:r w:rsidRPr="00DC2BE2">
        <w:rPr>
          <w:rStyle w:val="A0"/>
          <w:rFonts w:ascii="Arial" w:hAnsi="Arial" w:cs="Arial"/>
          <w:bCs/>
          <w:color w:val="auto"/>
          <w:sz w:val="20"/>
          <w:szCs w:val="20"/>
        </w:rPr>
        <w:t xml:space="preserve"> </w:t>
      </w:r>
      <w:r w:rsidRPr="000B1522">
        <w:rPr>
          <w:rStyle w:val="A0"/>
          <w:rFonts w:ascii="Arial" w:hAnsi="Arial" w:cs="Arial"/>
          <w:color w:val="auto"/>
          <w:sz w:val="20"/>
          <w:szCs w:val="20"/>
        </w:rPr>
        <w:t>shal</w:t>
      </w:r>
      <w:r>
        <w:rPr>
          <w:rStyle w:val="A0"/>
          <w:rFonts w:ascii="Arial" w:hAnsi="Arial" w:cs="Arial"/>
          <w:sz w:val="20"/>
          <w:szCs w:val="20"/>
        </w:rPr>
        <w:t>l conform to Section 248.02(e).</w:t>
      </w:r>
    </w:p>
    <w:p w14:paraId="695DBCE2" w14:textId="77777777" w:rsidR="00DB7AF9" w:rsidRPr="00DC2BE2" w:rsidRDefault="00DB7AF9" w:rsidP="006F4A03">
      <w:pPr>
        <w:pStyle w:val="Pa1"/>
        <w:spacing w:after="240" w:line="240" w:lineRule="auto"/>
        <w:jc w:val="both"/>
        <w:outlineLvl w:val="1"/>
        <w:rPr>
          <w:rStyle w:val="A0"/>
          <w:rFonts w:ascii="Arial" w:hAnsi="Arial" w:cs="Arial"/>
          <w:bCs/>
          <w:sz w:val="20"/>
          <w:szCs w:val="20"/>
        </w:rPr>
      </w:pPr>
      <w:r w:rsidRPr="000B1522">
        <w:rPr>
          <w:rStyle w:val="A0"/>
          <w:rFonts w:ascii="Arial" w:hAnsi="Arial" w:cs="Arial"/>
          <w:b/>
          <w:bCs/>
          <w:color w:val="auto"/>
          <w:sz w:val="20"/>
          <w:szCs w:val="20"/>
        </w:rPr>
        <w:t>31</w:t>
      </w:r>
      <w:r>
        <w:rPr>
          <w:rStyle w:val="A0"/>
          <w:rFonts w:ascii="Arial" w:hAnsi="Arial" w:cs="Arial"/>
          <w:b/>
          <w:bCs/>
          <w:sz w:val="20"/>
          <w:szCs w:val="20"/>
        </w:rPr>
        <w:t>7.03 – Composition of SMA Mixture</w:t>
      </w:r>
    </w:p>
    <w:p w14:paraId="4C2407D7" w14:textId="77777777" w:rsidR="00DB7AF9" w:rsidRDefault="00DB7AF9" w:rsidP="006F4A03">
      <w:pPr>
        <w:pStyle w:val="Pa1"/>
        <w:spacing w:after="240" w:line="240" w:lineRule="auto"/>
        <w:jc w:val="both"/>
        <w:rPr>
          <w:rStyle w:val="A0"/>
          <w:rFonts w:ascii="Arial" w:hAnsi="Arial" w:cs="Arial"/>
          <w:sz w:val="20"/>
          <w:szCs w:val="20"/>
        </w:rPr>
      </w:pPr>
      <w:r w:rsidRPr="000B1522">
        <w:rPr>
          <w:rStyle w:val="A0"/>
          <w:rFonts w:ascii="Arial" w:hAnsi="Arial" w:cs="Arial"/>
          <w:sz w:val="20"/>
          <w:szCs w:val="20"/>
        </w:rPr>
        <w:t>Composition of Stone Matrix Asphalt shall conform to S</w:t>
      </w:r>
      <w:r>
        <w:rPr>
          <w:rStyle w:val="A0"/>
          <w:rFonts w:ascii="Arial" w:hAnsi="Arial" w:cs="Arial"/>
          <w:sz w:val="20"/>
          <w:szCs w:val="20"/>
        </w:rPr>
        <w:t>ection 248.</w:t>
      </w:r>
    </w:p>
    <w:p w14:paraId="1D4D9681" w14:textId="77777777" w:rsidR="00DB7AF9" w:rsidRPr="00DC2BE2" w:rsidRDefault="00DB7AF9" w:rsidP="006F4A03">
      <w:pPr>
        <w:pStyle w:val="Pa1"/>
        <w:spacing w:after="240" w:line="240" w:lineRule="auto"/>
        <w:jc w:val="both"/>
        <w:outlineLvl w:val="1"/>
        <w:rPr>
          <w:rStyle w:val="A0"/>
          <w:rFonts w:ascii="Arial" w:hAnsi="Arial" w:cs="Arial"/>
          <w:bCs/>
          <w:sz w:val="20"/>
          <w:szCs w:val="20"/>
        </w:rPr>
      </w:pPr>
      <w:r>
        <w:rPr>
          <w:rStyle w:val="A0"/>
          <w:rFonts w:ascii="Arial" w:hAnsi="Arial" w:cs="Arial"/>
          <w:b/>
          <w:bCs/>
          <w:sz w:val="20"/>
          <w:szCs w:val="20"/>
        </w:rPr>
        <w:t>317.04 – Acceptance</w:t>
      </w:r>
    </w:p>
    <w:p w14:paraId="44938CB5" w14:textId="77777777" w:rsidR="00DB7AF9" w:rsidRDefault="00DB7AF9" w:rsidP="006F4A03">
      <w:pPr>
        <w:pStyle w:val="Pa1"/>
        <w:spacing w:after="240" w:line="240" w:lineRule="auto"/>
        <w:jc w:val="both"/>
        <w:rPr>
          <w:rStyle w:val="A0"/>
          <w:rFonts w:ascii="Arial" w:hAnsi="Arial" w:cs="Arial"/>
          <w:sz w:val="20"/>
          <w:szCs w:val="20"/>
        </w:rPr>
      </w:pPr>
      <w:r w:rsidRPr="000B1522">
        <w:rPr>
          <w:rStyle w:val="A0"/>
          <w:rFonts w:ascii="Arial" w:hAnsi="Arial" w:cs="Arial"/>
          <w:sz w:val="20"/>
          <w:szCs w:val="20"/>
        </w:rPr>
        <w:t>Acceptance of Stone Matrix Asphal</w:t>
      </w:r>
      <w:r>
        <w:rPr>
          <w:rStyle w:val="A0"/>
          <w:rFonts w:ascii="Arial" w:hAnsi="Arial" w:cs="Arial"/>
          <w:sz w:val="20"/>
          <w:szCs w:val="20"/>
        </w:rPr>
        <w:t>t shall conform to Section 248.</w:t>
      </w:r>
    </w:p>
    <w:p w14:paraId="6B89DE48" w14:textId="77777777" w:rsidR="00DB7AF9" w:rsidRPr="00DC2BE2" w:rsidRDefault="00DB7AF9" w:rsidP="006F4A03">
      <w:pPr>
        <w:pStyle w:val="Pa1"/>
        <w:spacing w:after="240" w:line="240" w:lineRule="auto"/>
        <w:jc w:val="both"/>
        <w:outlineLvl w:val="1"/>
        <w:rPr>
          <w:rStyle w:val="A0"/>
          <w:rFonts w:ascii="Arial" w:hAnsi="Arial" w:cs="Arial"/>
          <w:bCs/>
          <w:sz w:val="20"/>
          <w:szCs w:val="20"/>
        </w:rPr>
      </w:pPr>
      <w:r>
        <w:rPr>
          <w:rStyle w:val="A0"/>
          <w:rFonts w:ascii="Arial" w:hAnsi="Arial" w:cs="Arial"/>
          <w:b/>
          <w:bCs/>
          <w:sz w:val="20"/>
          <w:szCs w:val="20"/>
        </w:rPr>
        <w:t>317.05 – SMA Mixing Plant</w:t>
      </w:r>
    </w:p>
    <w:p w14:paraId="23216AE4" w14:textId="77777777" w:rsidR="00DB7AF9" w:rsidRDefault="00DB7AF9" w:rsidP="006F4A03">
      <w:pPr>
        <w:pStyle w:val="Pa1"/>
        <w:numPr>
          <w:ilvl w:val="0"/>
          <w:numId w:val="2"/>
        </w:numPr>
        <w:spacing w:after="240" w:line="240" w:lineRule="auto"/>
        <w:jc w:val="both"/>
        <w:rPr>
          <w:rStyle w:val="A0"/>
          <w:rFonts w:ascii="Arial" w:hAnsi="Arial" w:cs="Arial"/>
          <w:sz w:val="20"/>
          <w:szCs w:val="20"/>
        </w:rPr>
      </w:pPr>
      <w:r w:rsidRPr="000B1522">
        <w:rPr>
          <w:rStyle w:val="A0"/>
          <w:rFonts w:ascii="Arial" w:hAnsi="Arial" w:cs="Arial"/>
          <w:b/>
          <w:bCs/>
          <w:sz w:val="20"/>
          <w:szCs w:val="20"/>
        </w:rPr>
        <w:t>Mineral filler handling</w:t>
      </w:r>
      <w:r w:rsidRPr="00DC2BE2">
        <w:rPr>
          <w:rStyle w:val="A0"/>
          <w:rFonts w:ascii="Arial" w:hAnsi="Arial" w:cs="Arial"/>
          <w:bCs/>
          <w:sz w:val="20"/>
          <w:szCs w:val="20"/>
        </w:rPr>
        <w:t xml:space="preserve"> </w:t>
      </w:r>
      <w:r w:rsidRPr="000B1522">
        <w:rPr>
          <w:rStyle w:val="A0"/>
          <w:rFonts w:ascii="Arial" w:hAnsi="Arial" w:cs="Arial"/>
          <w:sz w:val="20"/>
          <w:szCs w:val="20"/>
        </w:rPr>
        <w:t>shall be in acc</w:t>
      </w:r>
      <w:r>
        <w:rPr>
          <w:rStyle w:val="A0"/>
          <w:rFonts w:ascii="Arial" w:hAnsi="Arial" w:cs="Arial"/>
          <w:sz w:val="20"/>
          <w:szCs w:val="20"/>
        </w:rPr>
        <w:t>ordance with Section 248.05(a).</w:t>
      </w:r>
    </w:p>
    <w:p w14:paraId="540E7489" w14:textId="77777777" w:rsidR="00DB7AF9" w:rsidRDefault="00DB7AF9" w:rsidP="006F4A03">
      <w:pPr>
        <w:pStyle w:val="Pa1"/>
        <w:numPr>
          <w:ilvl w:val="0"/>
          <w:numId w:val="2"/>
        </w:numPr>
        <w:spacing w:after="240" w:line="240" w:lineRule="auto"/>
        <w:jc w:val="both"/>
        <w:rPr>
          <w:rStyle w:val="A0"/>
          <w:rFonts w:ascii="Arial" w:hAnsi="Arial" w:cs="Arial"/>
          <w:sz w:val="20"/>
          <w:szCs w:val="20"/>
        </w:rPr>
      </w:pPr>
      <w:r w:rsidRPr="000B1522">
        <w:rPr>
          <w:rStyle w:val="A0"/>
          <w:rFonts w:ascii="Arial" w:hAnsi="Arial" w:cs="Arial"/>
          <w:b/>
          <w:bCs/>
          <w:color w:val="auto"/>
          <w:sz w:val="20"/>
          <w:szCs w:val="20"/>
        </w:rPr>
        <w:t>Fiber addition</w:t>
      </w:r>
      <w:r w:rsidRPr="00DC2BE2">
        <w:rPr>
          <w:rStyle w:val="A0"/>
          <w:rFonts w:ascii="Arial" w:hAnsi="Arial" w:cs="Arial"/>
          <w:bCs/>
          <w:color w:val="auto"/>
          <w:sz w:val="20"/>
          <w:szCs w:val="20"/>
        </w:rPr>
        <w:t xml:space="preserve"> </w:t>
      </w:r>
      <w:r w:rsidRPr="000B1522">
        <w:rPr>
          <w:rStyle w:val="A0"/>
          <w:rFonts w:ascii="Arial" w:hAnsi="Arial" w:cs="Arial"/>
          <w:color w:val="auto"/>
          <w:sz w:val="20"/>
          <w:szCs w:val="20"/>
        </w:rPr>
        <w:t>shall be in accordance with Section 24</w:t>
      </w:r>
      <w:r>
        <w:rPr>
          <w:rStyle w:val="A0"/>
          <w:rFonts w:ascii="Arial" w:hAnsi="Arial" w:cs="Arial"/>
          <w:sz w:val="20"/>
          <w:szCs w:val="20"/>
        </w:rPr>
        <w:t>8.05(b).</w:t>
      </w:r>
    </w:p>
    <w:p w14:paraId="49997F17" w14:textId="77777777" w:rsidR="00DB7AF9" w:rsidRDefault="00DB7AF9" w:rsidP="006F4A03">
      <w:pPr>
        <w:pStyle w:val="Pa1"/>
        <w:numPr>
          <w:ilvl w:val="0"/>
          <w:numId w:val="2"/>
        </w:numPr>
        <w:spacing w:after="240" w:line="240" w:lineRule="auto"/>
        <w:jc w:val="both"/>
        <w:rPr>
          <w:rStyle w:val="A0"/>
          <w:rFonts w:ascii="Arial" w:hAnsi="Arial" w:cs="Arial"/>
          <w:sz w:val="20"/>
          <w:szCs w:val="20"/>
        </w:rPr>
      </w:pPr>
      <w:r w:rsidRPr="000B1522">
        <w:rPr>
          <w:rStyle w:val="A0"/>
          <w:rFonts w:ascii="Arial" w:hAnsi="Arial" w:cs="Arial"/>
          <w:b/>
          <w:bCs/>
          <w:color w:val="auto"/>
          <w:sz w:val="20"/>
          <w:szCs w:val="20"/>
        </w:rPr>
        <w:t>Hot-mixture storage</w:t>
      </w:r>
      <w:r w:rsidRPr="00DC2BE2">
        <w:rPr>
          <w:rStyle w:val="A0"/>
          <w:rFonts w:ascii="Arial" w:hAnsi="Arial" w:cs="Arial"/>
          <w:bCs/>
          <w:color w:val="auto"/>
          <w:sz w:val="20"/>
          <w:szCs w:val="20"/>
        </w:rPr>
        <w:t xml:space="preserve"> </w:t>
      </w:r>
      <w:r w:rsidRPr="000B1522">
        <w:rPr>
          <w:rStyle w:val="A0"/>
          <w:rFonts w:ascii="Arial" w:hAnsi="Arial" w:cs="Arial"/>
          <w:color w:val="auto"/>
          <w:sz w:val="20"/>
          <w:szCs w:val="20"/>
        </w:rPr>
        <w:t>shal</w:t>
      </w:r>
      <w:r>
        <w:rPr>
          <w:rStyle w:val="A0"/>
          <w:rFonts w:ascii="Arial" w:hAnsi="Arial" w:cs="Arial"/>
          <w:sz w:val="20"/>
          <w:szCs w:val="20"/>
        </w:rPr>
        <w:t>l conform to Section 248.05(c).</w:t>
      </w:r>
    </w:p>
    <w:p w14:paraId="20AD6E99" w14:textId="77777777" w:rsidR="00DB7AF9" w:rsidRDefault="00DB7AF9" w:rsidP="006F4A03">
      <w:pPr>
        <w:pStyle w:val="Pa1"/>
        <w:numPr>
          <w:ilvl w:val="0"/>
          <w:numId w:val="2"/>
        </w:numPr>
        <w:spacing w:after="240" w:line="240" w:lineRule="auto"/>
        <w:jc w:val="both"/>
        <w:rPr>
          <w:rStyle w:val="A0"/>
          <w:rFonts w:ascii="Arial" w:hAnsi="Arial" w:cs="Arial"/>
          <w:sz w:val="20"/>
          <w:szCs w:val="20"/>
        </w:rPr>
      </w:pPr>
      <w:r w:rsidRPr="000B1522">
        <w:rPr>
          <w:rStyle w:val="A0"/>
          <w:rFonts w:ascii="Arial" w:hAnsi="Arial" w:cs="Arial"/>
          <w:b/>
          <w:bCs/>
          <w:color w:val="auto"/>
          <w:sz w:val="20"/>
          <w:szCs w:val="20"/>
        </w:rPr>
        <w:t>Mixing temperatures</w:t>
      </w:r>
      <w:r w:rsidRPr="00DC2BE2">
        <w:rPr>
          <w:rStyle w:val="A0"/>
          <w:rFonts w:ascii="Arial" w:hAnsi="Arial" w:cs="Arial"/>
          <w:bCs/>
          <w:color w:val="auto"/>
          <w:sz w:val="20"/>
          <w:szCs w:val="20"/>
        </w:rPr>
        <w:t xml:space="preserve"> </w:t>
      </w:r>
      <w:r w:rsidRPr="000B1522">
        <w:rPr>
          <w:rStyle w:val="A0"/>
          <w:rFonts w:ascii="Arial" w:hAnsi="Arial" w:cs="Arial"/>
          <w:color w:val="auto"/>
          <w:sz w:val="20"/>
          <w:szCs w:val="20"/>
        </w:rPr>
        <w:t>shal</w:t>
      </w:r>
      <w:r>
        <w:rPr>
          <w:rStyle w:val="A0"/>
          <w:rFonts w:ascii="Arial" w:hAnsi="Arial" w:cs="Arial"/>
          <w:sz w:val="20"/>
          <w:szCs w:val="20"/>
        </w:rPr>
        <w:t>l conform to Section 248.05(d).</w:t>
      </w:r>
    </w:p>
    <w:p w14:paraId="3878A3DF" w14:textId="77777777" w:rsidR="00DB7AF9" w:rsidRPr="00DC2BE2" w:rsidRDefault="00DB7AF9" w:rsidP="006F4A03">
      <w:pPr>
        <w:pStyle w:val="Pa1"/>
        <w:spacing w:after="240" w:line="240" w:lineRule="auto"/>
        <w:jc w:val="both"/>
        <w:outlineLvl w:val="1"/>
        <w:rPr>
          <w:rStyle w:val="A0"/>
          <w:rFonts w:ascii="Arial" w:hAnsi="Arial" w:cs="Arial"/>
          <w:bCs/>
          <w:sz w:val="20"/>
          <w:szCs w:val="20"/>
        </w:rPr>
      </w:pPr>
      <w:r>
        <w:rPr>
          <w:rStyle w:val="A0"/>
          <w:rFonts w:ascii="Arial" w:hAnsi="Arial" w:cs="Arial"/>
          <w:b/>
          <w:bCs/>
          <w:sz w:val="20"/>
          <w:szCs w:val="20"/>
        </w:rPr>
        <w:t>317.06 – Weather Restrictions</w:t>
      </w:r>
    </w:p>
    <w:p w14:paraId="07337603" w14:textId="05AE073E" w:rsidR="00DB7AF9" w:rsidRDefault="004201C4" w:rsidP="006F4A03">
      <w:pPr>
        <w:pStyle w:val="Pa1"/>
        <w:spacing w:after="240" w:line="240" w:lineRule="auto"/>
        <w:jc w:val="both"/>
        <w:rPr>
          <w:rStyle w:val="A0"/>
          <w:rFonts w:ascii="Arial" w:hAnsi="Arial" w:cs="Arial"/>
          <w:sz w:val="20"/>
          <w:szCs w:val="20"/>
        </w:rPr>
      </w:pPr>
      <w:r w:rsidRPr="004201C4">
        <w:rPr>
          <w:rFonts w:ascii="Arial" w:hAnsi="Arial" w:cs="Arial"/>
          <w:color w:val="000000"/>
          <w:sz w:val="20"/>
          <w:szCs w:val="20"/>
        </w:rPr>
        <w:t>SMA mixture shall be placed only when the ambient and surface temperatures are 50 degrees F or above.</w:t>
      </w:r>
    </w:p>
    <w:p w14:paraId="5C42F5F4" w14:textId="77777777" w:rsidR="00DB7AF9" w:rsidRPr="00DC2BE2" w:rsidRDefault="00DB7AF9" w:rsidP="006F4A03">
      <w:pPr>
        <w:pStyle w:val="Pa1"/>
        <w:spacing w:after="240" w:line="240" w:lineRule="auto"/>
        <w:jc w:val="both"/>
        <w:outlineLvl w:val="1"/>
        <w:rPr>
          <w:rStyle w:val="A0"/>
          <w:rFonts w:ascii="Arial" w:hAnsi="Arial" w:cs="Arial"/>
          <w:bCs/>
          <w:sz w:val="20"/>
          <w:szCs w:val="20"/>
        </w:rPr>
      </w:pPr>
      <w:r>
        <w:rPr>
          <w:rStyle w:val="A0"/>
          <w:rFonts w:ascii="Arial" w:hAnsi="Arial" w:cs="Arial"/>
          <w:b/>
          <w:bCs/>
          <w:sz w:val="20"/>
          <w:szCs w:val="20"/>
        </w:rPr>
        <w:t>317.07 – Placing and Finishing</w:t>
      </w:r>
    </w:p>
    <w:p w14:paraId="0FE27992" w14:textId="77777777" w:rsidR="00DB7AF9" w:rsidRDefault="00DB7AF9" w:rsidP="006F4A03">
      <w:pPr>
        <w:pStyle w:val="Pa1"/>
        <w:spacing w:after="240" w:line="240" w:lineRule="auto"/>
        <w:jc w:val="both"/>
        <w:rPr>
          <w:rStyle w:val="A0"/>
          <w:rFonts w:ascii="Arial" w:hAnsi="Arial" w:cs="Arial"/>
          <w:sz w:val="20"/>
          <w:szCs w:val="20"/>
        </w:rPr>
      </w:pPr>
      <w:r w:rsidRPr="000B1522">
        <w:rPr>
          <w:rStyle w:val="A0"/>
          <w:rFonts w:ascii="Arial" w:hAnsi="Arial" w:cs="Arial"/>
          <w:sz w:val="20"/>
          <w:szCs w:val="20"/>
        </w:rPr>
        <w:t>For mixtures containing PG 64H-22 asphalt binder, the mixture temperature shall not be less than 300 degrees F in the truck or less than 290 degrees F</w:t>
      </w:r>
      <w:r>
        <w:rPr>
          <w:rStyle w:val="A0"/>
          <w:rFonts w:ascii="Arial" w:hAnsi="Arial" w:cs="Arial"/>
          <w:sz w:val="20"/>
          <w:szCs w:val="20"/>
        </w:rPr>
        <w:t xml:space="preserve"> immediately behind the screed.</w:t>
      </w:r>
    </w:p>
    <w:p w14:paraId="7E5E870A" w14:textId="77777777" w:rsidR="00DB7AF9" w:rsidRDefault="00DB7AF9" w:rsidP="006F4A03">
      <w:pPr>
        <w:pStyle w:val="Pa1"/>
        <w:spacing w:after="240" w:line="240" w:lineRule="auto"/>
        <w:jc w:val="both"/>
        <w:rPr>
          <w:rStyle w:val="A0"/>
          <w:rFonts w:ascii="Arial" w:hAnsi="Arial" w:cs="Arial"/>
          <w:sz w:val="20"/>
          <w:szCs w:val="20"/>
        </w:rPr>
      </w:pPr>
      <w:r w:rsidRPr="000B1522">
        <w:rPr>
          <w:rStyle w:val="A0"/>
          <w:rFonts w:ascii="Arial" w:hAnsi="Arial" w:cs="Arial"/>
          <w:sz w:val="20"/>
          <w:szCs w:val="20"/>
        </w:rPr>
        <w:t xml:space="preserve">For mixtures containing PG 64E-22 asphalt binder, the mixture temperature in the truck and immediately behind the screed shall not be less than the minimum compaction temperature provided </w:t>
      </w:r>
      <w:r>
        <w:rPr>
          <w:rStyle w:val="A0"/>
          <w:rFonts w:ascii="Arial" w:hAnsi="Arial" w:cs="Arial"/>
          <w:sz w:val="20"/>
          <w:szCs w:val="20"/>
        </w:rPr>
        <w:t>by the liquid asphalt supplier.</w:t>
      </w:r>
    </w:p>
    <w:p w14:paraId="0B6F82E5" w14:textId="77777777" w:rsidR="00DB7AF9" w:rsidRDefault="00DB7AF9" w:rsidP="006F4A03">
      <w:pPr>
        <w:pStyle w:val="Pa1"/>
        <w:spacing w:after="240" w:line="240" w:lineRule="auto"/>
        <w:jc w:val="both"/>
        <w:rPr>
          <w:rStyle w:val="A0"/>
          <w:rFonts w:ascii="Arial" w:hAnsi="Arial" w:cs="Arial"/>
          <w:sz w:val="20"/>
          <w:szCs w:val="20"/>
        </w:rPr>
      </w:pPr>
      <w:r w:rsidRPr="000B1522">
        <w:rPr>
          <w:rStyle w:val="A0"/>
          <w:rFonts w:ascii="Arial" w:hAnsi="Arial" w:cs="Arial"/>
          <w:sz w:val="20"/>
          <w:szCs w:val="20"/>
        </w:rPr>
        <w:t xml:space="preserve">The minimum mixture or compaction temperature immediately behind the screed when a warm mix asphalt additive or process is used to produce the SMA shall </w:t>
      </w:r>
      <w:r>
        <w:rPr>
          <w:rStyle w:val="A0"/>
          <w:rFonts w:ascii="Arial" w:hAnsi="Arial" w:cs="Arial"/>
          <w:sz w:val="20"/>
          <w:szCs w:val="20"/>
        </w:rPr>
        <w:t>not be less than 200 degrees F.</w:t>
      </w:r>
    </w:p>
    <w:p w14:paraId="4FFD5332" w14:textId="77777777" w:rsidR="00DB7AF9" w:rsidRDefault="00DB7AF9" w:rsidP="006F4A03">
      <w:pPr>
        <w:pStyle w:val="Pa1"/>
        <w:spacing w:after="240" w:line="240" w:lineRule="auto"/>
        <w:jc w:val="both"/>
        <w:rPr>
          <w:rStyle w:val="A0"/>
          <w:rFonts w:ascii="Arial" w:hAnsi="Arial" w:cs="Arial"/>
          <w:sz w:val="20"/>
          <w:szCs w:val="20"/>
        </w:rPr>
      </w:pPr>
      <w:r w:rsidRPr="000B1522">
        <w:rPr>
          <w:rStyle w:val="A0"/>
          <w:rFonts w:ascii="Arial" w:hAnsi="Arial" w:cs="Arial"/>
          <w:sz w:val="20"/>
          <w:szCs w:val="20"/>
        </w:rPr>
        <w:t xml:space="preserve">The Contractor shall be responsible for a continuous paving operation that provides for maintaining constant steady movement of the paver. If excessive stop and go of the paver is occurring, the Engineer will stop </w:t>
      </w:r>
      <w:r w:rsidRPr="000B1522">
        <w:rPr>
          <w:rStyle w:val="A0"/>
          <w:rFonts w:ascii="Arial" w:hAnsi="Arial" w:cs="Arial"/>
          <w:sz w:val="20"/>
          <w:szCs w:val="20"/>
        </w:rPr>
        <w:lastRenderedPageBreak/>
        <w:t>production and laydown of the mixture until the Contractor has made satisfactory changes in the production, hauling, and placement operations resulting in a constan</w:t>
      </w:r>
      <w:r>
        <w:rPr>
          <w:rStyle w:val="A0"/>
          <w:rFonts w:ascii="Arial" w:hAnsi="Arial" w:cs="Arial"/>
          <w:sz w:val="20"/>
          <w:szCs w:val="20"/>
        </w:rPr>
        <w:t>t steady movement of the paver.</w:t>
      </w:r>
    </w:p>
    <w:p w14:paraId="446D945C" w14:textId="00587E5D" w:rsidR="00DB7AF9" w:rsidRDefault="00DB7AF9" w:rsidP="006F4A03">
      <w:pPr>
        <w:pStyle w:val="Pa1"/>
        <w:spacing w:after="240" w:line="240" w:lineRule="auto"/>
        <w:jc w:val="both"/>
        <w:rPr>
          <w:rStyle w:val="A0"/>
          <w:rFonts w:ascii="Arial" w:hAnsi="Arial" w:cs="Arial"/>
          <w:sz w:val="20"/>
          <w:szCs w:val="20"/>
        </w:rPr>
      </w:pPr>
      <w:r w:rsidRPr="000B1522">
        <w:rPr>
          <w:rStyle w:val="A0"/>
          <w:rFonts w:ascii="Arial" w:hAnsi="Arial" w:cs="Arial"/>
          <w:sz w:val="20"/>
          <w:szCs w:val="20"/>
        </w:rPr>
        <w:t xml:space="preserve">The Contractor shall employ a Material Transfer Vehicle (MTV) during the placement of SMA mixes. The Contractor’s paving operation shall have remixing capability in either the MTV or a paver-mounted hopper to produce a uniform </w:t>
      </w:r>
      <w:proofErr w:type="spellStart"/>
      <w:r w:rsidRPr="000B1522">
        <w:rPr>
          <w:rStyle w:val="A0"/>
          <w:rFonts w:ascii="Arial" w:hAnsi="Arial" w:cs="Arial"/>
          <w:sz w:val="20"/>
          <w:szCs w:val="20"/>
        </w:rPr>
        <w:t>nonsegregated</w:t>
      </w:r>
      <w:proofErr w:type="spellEnd"/>
      <w:r w:rsidRPr="000B1522">
        <w:rPr>
          <w:rStyle w:val="A0"/>
          <w:rFonts w:ascii="Arial" w:hAnsi="Arial" w:cs="Arial"/>
          <w:sz w:val="20"/>
          <w:szCs w:val="20"/>
        </w:rPr>
        <w:t xml:space="preserve"> mix of uniform temperature. The MTV and paver combination shall have a minimum storage capacity of 15 tons. If equipment breaks down in the paving train, the Contractor shall notify the plant not to ship any more material and discontinue paving shall be discontinued once the ma</w:t>
      </w:r>
      <w:r>
        <w:rPr>
          <w:rStyle w:val="A0"/>
          <w:rFonts w:ascii="Arial" w:hAnsi="Arial" w:cs="Arial"/>
          <w:sz w:val="20"/>
          <w:szCs w:val="20"/>
        </w:rPr>
        <w:t>terial on-site has been placed.</w:t>
      </w:r>
    </w:p>
    <w:p w14:paraId="3AE1562E" w14:textId="77777777" w:rsidR="00DB7AF9" w:rsidRPr="00DC2BE2" w:rsidRDefault="00DB7AF9" w:rsidP="006F4A03">
      <w:pPr>
        <w:pStyle w:val="Pa1"/>
        <w:spacing w:after="240" w:line="240" w:lineRule="auto"/>
        <w:jc w:val="both"/>
        <w:outlineLvl w:val="1"/>
        <w:rPr>
          <w:rStyle w:val="A0"/>
          <w:rFonts w:ascii="Arial" w:hAnsi="Arial" w:cs="Arial"/>
          <w:bCs/>
          <w:sz w:val="20"/>
          <w:szCs w:val="20"/>
        </w:rPr>
      </w:pPr>
      <w:r>
        <w:rPr>
          <w:rStyle w:val="A0"/>
          <w:rFonts w:ascii="Arial" w:hAnsi="Arial" w:cs="Arial"/>
          <w:b/>
          <w:bCs/>
          <w:sz w:val="20"/>
          <w:szCs w:val="20"/>
        </w:rPr>
        <w:t>317.08 – Compaction</w:t>
      </w:r>
    </w:p>
    <w:p w14:paraId="71B3E47F" w14:textId="5DF46909" w:rsidR="00DB7AF9" w:rsidRDefault="00DB7AF9" w:rsidP="006F4A03">
      <w:pPr>
        <w:pStyle w:val="Pa1"/>
        <w:spacing w:after="240" w:line="240" w:lineRule="auto"/>
        <w:jc w:val="both"/>
        <w:rPr>
          <w:rStyle w:val="A0"/>
          <w:rFonts w:ascii="Arial" w:hAnsi="Arial" w:cs="Arial"/>
          <w:sz w:val="20"/>
          <w:szCs w:val="20"/>
        </w:rPr>
      </w:pPr>
      <w:r w:rsidRPr="000B1522">
        <w:rPr>
          <w:rStyle w:val="A0"/>
          <w:rFonts w:ascii="Arial" w:hAnsi="Arial" w:cs="Arial"/>
          <w:sz w:val="20"/>
          <w:szCs w:val="20"/>
        </w:rPr>
        <w:t xml:space="preserve">Immediately after the mixture has been spread and struck off, it </w:t>
      </w:r>
      <w:proofErr w:type="gramStart"/>
      <w:r w:rsidRPr="000B1522">
        <w:rPr>
          <w:rStyle w:val="A0"/>
          <w:rFonts w:ascii="Arial" w:hAnsi="Arial" w:cs="Arial"/>
          <w:sz w:val="20"/>
          <w:szCs w:val="20"/>
        </w:rPr>
        <w:t>shall be thoroughly and uniformly compacted</w:t>
      </w:r>
      <w:proofErr w:type="gramEnd"/>
      <w:r w:rsidRPr="000B1522">
        <w:rPr>
          <w:rStyle w:val="A0"/>
          <w:rFonts w:ascii="Arial" w:hAnsi="Arial" w:cs="Arial"/>
          <w:sz w:val="20"/>
          <w:szCs w:val="20"/>
        </w:rPr>
        <w:t xml:space="preserve"> by rolling. Rolling shall be accomplished with steel wheel roller(s) with a minimum weight of 10 tons. A minimum of three rollers shall be available at all times for co</w:t>
      </w:r>
      <w:r>
        <w:rPr>
          <w:rStyle w:val="A0"/>
          <w:rFonts w:ascii="Arial" w:hAnsi="Arial" w:cs="Arial"/>
          <w:sz w:val="20"/>
          <w:szCs w:val="20"/>
        </w:rPr>
        <w:t>mpaction and/or finish rolling.</w:t>
      </w:r>
    </w:p>
    <w:p w14:paraId="1D51C869" w14:textId="77777777" w:rsidR="00DB7AF9" w:rsidRDefault="00DB7AF9" w:rsidP="006F4A03">
      <w:pPr>
        <w:pStyle w:val="Pa1"/>
        <w:spacing w:after="240" w:line="240" w:lineRule="auto"/>
        <w:jc w:val="both"/>
        <w:rPr>
          <w:rStyle w:val="A0"/>
          <w:rFonts w:ascii="Arial" w:hAnsi="Arial" w:cs="Arial"/>
          <w:sz w:val="20"/>
          <w:szCs w:val="20"/>
        </w:rPr>
      </w:pPr>
      <w:r w:rsidRPr="000B1522">
        <w:rPr>
          <w:rStyle w:val="A0"/>
          <w:rFonts w:ascii="Arial" w:hAnsi="Arial" w:cs="Arial"/>
          <w:sz w:val="20"/>
          <w:szCs w:val="20"/>
        </w:rPr>
        <w:t>The Contractor shall approach the use of vibratory rollers on SMA with caution to minimize coarse aggregate fracture/breakage in the aggregate skeleton of SMA mixes. If the Contractor elects to use a vibratory roller, the mat shall receive not more than three vibratory passes. The Contractor shall use the roller only on the highest frequenc</w:t>
      </w:r>
      <w:r>
        <w:rPr>
          <w:rStyle w:val="A0"/>
          <w:rFonts w:ascii="Arial" w:hAnsi="Arial" w:cs="Arial"/>
          <w:sz w:val="20"/>
          <w:szCs w:val="20"/>
        </w:rPr>
        <w:t>y and lowest amplitude setting.</w:t>
      </w:r>
    </w:p>
    <w:p w14:paraId="658229C0" w14:textId="046E6168" w:rsidR="00DB7AF9" w:rsidRDefault="00DB7AF9" w:rsidP="006F4A03">
      <w:pPr>
        <w:pStyle w:val="Pa1"/>
        <w:spacing w:after="240" w:line="240" w:lineRule="auto"/>
        <w:jc w:val="both"/>
        <w:rPr>
          <w:rStyle w:val="A0"/>
          <w:rFonts w:ascii="Arial" w:hAnsi="Arial" w:cs="Arial"/>
          <w:sz w:val="20"/>
          <w:szCs w:val="20"/>
        </w:rPr>
      </w:pPr>
      <w:r w:rsidRPr="000B1522">
        <w:rPr>
          <w:rStyle w:val="A0"/>
          <w:rFonts w:ascii="Arial" w:hAnsi="Arial" w:cs="Arial"/>
          <w:sz w:val="20"/>
          <w:szCs w:val="20"/>
        </w:rPr>
        <w:t xml:space="preserve">It shall be the Contractor’s responsibility to adjust the rolling procedures to provide the specified pavement density. Rollers shall move at a uniform speed. Rolling shall be continued until all roller marks are eliminated and the minimum density has been obtained. The Contractor shall monitor density during the compaction process by use of nuclear density gages to ensure that the minimum required compaction is being obtained. During the trial section, the Department will randomly select </w:t>
      </w:r>
      <w:proofErr w:type="gramStart"/>
      <w:r w:rsidRPr="000B1522">
        <w:rPr>
          <w:rStyle w:val="A0"/>
          <w:rFonts w:ascii="Arial" w:hAnsi="Arial" w:cs="Arial"/>
          <w:sz w:val="20"/>
          <w:szCs w:val="20"/>
        </w:rPr>
        <w:t>3</w:t>
      </w:r>
      <w:proofErr w:type="gramEnd"/>
      <w:r w:rsidRPr="000B1522">
        <w:rPr>
          <w:rStyle w:val="A0"/>
          <w:rFonts w:ascii="Arial" w:hAnsi="Arial" w:cs="Arial"/>
          <w:sz w:val="20"/>
          <w:szCs w:val="20"/>
        </w:rPr>
        <w:t xml:space="preserve"> plug or core locations to determine the in-pla</w:t>
      </w:r>
      <w:r>
        <w:rPr>
          <w:rStyle w:val="A0"/>
          <w:rFonts w:ascii="Arial" w:hAnsi="Arial" w:cs="Arial"/>
          <w:sz w:val="20"/>
          <w:szCs w:val="20"/>
        </w:rPr>
        <w:t>ce density according to VTM-22.</w:t>
      </w:r>
    </w:p>
    <w:p w14:paraId="4D88A123" w14:textId="77777777" w:rsidR="00DB7AF9" w:rsidRDefault="00DB7AF9" w:rsidP="006F4A03">
      <w:pPr>
        <w:pStyle w:val="Pa1"/>
        <w:spacing w:after="240" w:line="240" w:lineRule="auto"/>
        <w:jc w:val="both"/>
        <w:rPr>
          <w:rStyle w:val="A0"/>
          <w:rFonts w:ascii="Arial" w:hAnsi="Arial" w:cs="Arial"/>
          <w:sz w:val="20"/>
          <w:szCs w:val="20"/>
        </w:rPr>
      </w:pPr>
      <w:r w:rsidRPr="000B1522">
        <w:rPr>
          <w:rStyle w:val="A0"/>
          <w:rFonts w:ascii="Arial" w:hAnsi="Arial" w:cs="Arial"/>
          <w:sz w:val="20"/>
          <w:szCs w:val="20"/>
        </w:rPr>
        <w:t>The Contractor shall keep the wheels of the rollers properly moistened with water that has been mixed with very small quantities of detergent or other approved additives to prevent adhesion</w:t>
      </w:r>
      <w:r>
        <w:rPr>
          <w:rStyle w:val="A0"/>
          <w:rFonts w:ascii="Arial" w:hAnsi="Arial" w:cs="Arial"/>
          <w:sz w:val="20"/>
          <w:szCs w:val="20"/>
        </w:rPr>
        <w:t xml:space="preserve"> of the mixture to the rollers.</w:t>
      </w:r>
    </w:p>
    <w:p w14:paraId="0D9A9542" w14:textId="77777777" w:rsidR="00DB7AF9" w:rsidRDefault="00DB7AF9" w:rsidP="006F4A03">
      <w:pPr>
        <w:pStyle w:val="Pa1"/>
        <w:spacing w:after="240" w:line="240" w:lineRule="auto"/>
        <w:jc w:val="both"/>
        <w:rPr>
          <w:rStyle w:val="A0"/>
          <w:rFonts w:ascii="Arial" w:hAnsi="Arial" w:cs="Arial"/>
          <w:sz w:val="20"/>
          <w:szCs w:val="20"/>
        </w:rPr>
      </w:pPr>
      <w:r w:rsidRPr="000B1522">
        <w:rPr>
          <w:rStyle w:val="A0"/>
          <w:rFonts w:ascii="Arial" w:hAnsi="Arial" w:cs="Arial"/>
          <w:sz w:val="20"/>
          <w:szCs w:val="20"/>
        </w:rPr>
        <w:t>For the purposes of evaluating and determining acceptance, each day’s production shall be considered a lot unless the paving length is less than 3,000 linear feet or greater than 7,500 linear feet. When paving is less than 3,000 feet, that day’s production amount shall be combined with the previous day’s production or added to the next day’s production to c</w:t>
      </w:r>
      <w:r>
        <w:rPr>
          <w:rStyle w:val="A0"/>
          <w:rFonts w:ascii="Arial" w:hAnsi="Arial" w:cs="Arial"/>
          <w:sz w:val="20"/>
          <w:szCs w:val="20"/>
        </w:rPr>
        <w:t>reate a lot as described below.</w:t>
      </w:r>
    </w:p>
    <w:p w14:paraId="7E5CBAC6" w14:textId="788BBD5C" w:rsidR="00DB7AF9" w:rsidRDefault="00DB7AF9" w:rsidP="006F4A03">
      <w:pPr>
        <w:pStyle w:val="Pa1"/>
        <w:spacing w:after="240" w:line="240" w:lineRule="auto"/>
        <w:jc w:val="both"/>
        <w:rPr>
          <w:rStyle w:val="A0"/>
          <w:rFonts w:ascii="Arial" w:hAnsi="Arial" w:cs="Arial"/>
          <w:sz w:val="20"/>
          <w:szCs w:val="20"/>
        </w:rPr>
      </w:pPr>
      <w:r w:rsidRPr="000B1522">
        <w:rPr>
          <w:rStyle w:val="A0"/>
          <w:rFonts w:ascii="Arial" w:hAnsi="Arial" w:cs="Arial"/>
          <w:sz w:val="20"/>
          <w:szCs w:val="20"/>
        </w:rPr>
        <w:t>The standard size of a lot shall be 5,000 linear feet, with 1,000 foot sublots, of any pass 6 feet or greater for the specified thickness of the course. The Engineer may approve an increase in the lot size to 7,500 linear foot lots with 1,500 foot sublots when the normal daily production is in excess of 7,000 feet. Pavers traveling in echelon will be considered as two passes. When a partial lot occurs at the end of a day’s production or upon completion of the project, the lot size</w:t>
      </w:r>
      <w:r>
        <w:rPr>
          <w:rStyle w:val="A0"/>
          <w:rFonts w:ascii="Arial" w:hAnsi="Arial" w:cs="Arial"/>
          <w:sz w:val="20"/>
          <w:szCs w:val="20"/>
        </w:rPr>
        <w:t xml:space="preserve"> shall be redefined as follows:</w:t>
      </w:r>
    </w:p>
    <w:p w14:paraId="467627CE" w14:textId="77777777" w:rsidR="00DB7AF9" w:rsidRDefault="00DB7AF9" w:rsidP="006F4A03">
      <w:pPr>
        <w:pStyle w:val="Pa1"/>
        <w:numPr>
          <w:ilvl w:val="0"/>
          <w:numId w:val="3"/>
        </w:numPr>
        <w:spacing w:after="240" w:line="240" w:lineRule="auto"/>
        <w:ind w:left="360"/>
        <w:jc w:val="both"/>
        <w:rPr>
          <w:rStyle w:val="A0"/>
          <w:rFonts w:ascii="Arial" w:hAnsi="Arial" w:cs="Arial"/>
          <w:sz w:val="20"/>
          <w:szCs w:val="20"/>
        </w:rPr>
      </w:pPr>
      <w:r w:rsidRPr="000B1522">
        <w:rPr>
          <w:rStyle w:val="A0"/>
          <w:rFonts w:ascii="Arial" w:hAnsi="Arial" w:cs="Arial"/>
          <w:sz w:val="20"/>
          <w:szCs w:val="20"/>
        </w:rPr>
        <w:t>If the partial lot contains one or two sublots, the sublots wil</w:t>
      </w:r>
      <w:r>
        <w:rPr>
          <w:rStyle w:val="A0"/>
          <w:rFonts w:ascii="Arial" w:hAnsi="Arial" w:cs="Arial"/>
          <w:sz w:val="20"/>
          <w:szCs w:val="20"/>
        </w:rPr>
        <w:t>l be added to the previous lot.</w:t>
      </w:r>
    </w:p>
    <w:p w14:paraId="3DE1D6A3" w14:textId="77777777" w:rsidR="00DB7AF9" w:rsidRDefault="00DB7AF9" w:rsidP="006F4A03">
      <w:pPr>
        <w:pStyle w:val="Pa1"/>
        <w:numPr>
          <w:ilvl w:val="0"/>
          <w:numId w:val="3"/>
        </w:numPr>
        <w:spacing w:after="240" w:line="240" w:lineRule="auto"/>
        <w:ind w:left="360"/>
        <w:jc w:val="both"/>
        <w:rPr>
          <w:rStyle w:val="A0"/>
          <w:rFonts w:ascii="Arial" w:hAnsi="Arial" w:cs="Arial"/>
          <w:sz w:val="20"/>
          <w:szCs w:val="20"/>
        </w:rPr>
      </w:pPr>
      <w:r w:rsidRPr="000B1522">
        <w:rPr>
          <w:rStyle w:val="A0"/>
          <w:rFonts w:ascii="Arial" w:hAnsi="Arial" w:cs="Arial"/>
          <w:color w:val="auto"/>
          <w:sz w:val="20"/>
          <w:szCs w:val="20"/>
        </w:rPr>
        <w:t>If the partial lot contains three or four sublots, the partial lot will be</w:t>
      </w:r>
      <w:r>
        <w:rPr>
          <w:rStyle w:val="A0"/>
          <w:rFonts w:ascii="Arial" w:hAnsi="Arial" w:cs="Arial"/>
          <w:sz w:val="20"/>
          <w:szCs w:val="20"/>
        </w:rPr>
        <w:t xml:space="preserve"> redefined to be an entire lot.</w:t>
      </w:r>
    </w:p>
    <w:p w14:paraId="1BF40C06" w14:textId="77777777" w:rsidR="00DB7AF9" w:rsidRDefault="00DB7AF9" w:rsidP="006F4A03">
      <w:pPr>
        <w:pStyle w:val="Pa1"/>
        <w:spacing w:after="240" w:line="240" w:lineRule="auto"/>
        <w:jc w:val="both"/>
        <w:rPr>
          <w:rStyle w:val="A0"/>
          <w:rFonts w:ascii="Arial" w:hAnsi="Arial" w:cs="Arial"/>
          <w:sz w:val="20"/>
          <w:szCs w:val="20"/>
        </w:rPr>
      </w:pPr>
      <w:r w:rsidRPr="000B1522">
        <w:rPr>
          <w:rStyle w:val="A0"/>
          <w:rFonts w:ascii="Arial" w:hAnsi="Arial" w:cs="Arial"/>
          <w:color w:val="auto"/>
          <w:sz w:val="20"/>
          <w:szCs w:val="20"/>
        </w:rPr>
        <w:t>The Contractor shall perform acceptance testing for density for each sublot by obtaining one sawed 4 inch by 4 inch specimen, or one 4-inch-diameter cores, at a single ra</w:t>
      </w:r>
      <w:r>
        <w:rPr>
          <w:rStyle w:val="A0"/>
          <w:rFonts w:ascii="Arial" w:hAnsi="Arial" w:cs="Arial"/>
          <w:sz w:val="20"/>
          <w:szCs w:val="20"/>
        </w:rPr>
        <w:t xml:space="preserve">ndom test site specified by the </w:t>
      </w:r>
      <w:r w:rsidRPr="000B1522">
        <w:rPr>
          <w:rStyle w:val="A0"/>
          <w:rFonts w:ascii="Arial" w:hAnsi="Arial" w:cs="Arial"/>
          <w:sz w:val="20"/>
          <w:szCs w:val="20"/>
        </w:rPr>
        <w:t xml:space="preserve">Engineer. Test sites shall not be located within 12 inches of the edge of any application width for </w:t>
      </w:r>
      <w:r>
        <w:rPr>
          <w:rStyle w:val="A0"/>
          <w:rFonts w:ascii="Arial" w:hAnsi="Arial" w:cs="Arial"/>
          <w:sz w:val="20"/>
          <w:szCs w:val="20"/>
        </w:rPr>
        <w:t>surface and intermediate mixes.</w:t>
      </w:r>
    </w:p>
    <w:p w14:paraId="7C7E0FBA" w14:textId="77777777" w:rsidR="00DB7AF9" w:rsidRDefault="00DB7AF9" w:rsidP="006F4A03">
      <w:pPr>
        <w:pStyle w:val="Pa1"/>
        <w:numPr>
          <w:ilvl w:val="0"/>
          <w:numId w:val="4"/>
        </w:numPr>
        <w:spacing w:after="240" w:line="240" w:lineRule="auto"/>
        <w:ind w:left="360"/>
        <w:jc w:val="both"/>
        <w:rPr>
          <w:rStyle w:val="A0"/>
          <w:rFonts w:ascii="Arial" w:hAnsi="Arial" w:cs="Arial"/>
          <w:sz w:val="20"/>
          <w:szCs w:val="20"/>
        </w:rPr>
      </w:pPr>
      <w:r w:rsidRPr="000B1522">
        <w:rPr>
          <w:rStyle w:val="A0"/>
          <w:rFonts w:ascii="Arial" w:hAnsi="Arial" w:cs="Arial"/>
          <w:sz w:val="20"/>
          <w:szCs w:val="20"/>
        </w:rPr>
        <w:t>The sub-lot site shall be</w:t>
      </w:r>
      <w:r>
        <w:rPr>
          <w:rStyle w:val="A0"/>
          <w:rFonts w:ascii="Arial" w:hAnsi="Arial" w:cs="Arial"/>
          <w:sz w:val="20"/>
          <w:szCs w:val="20"/>
        </w:rPr>
        <w:t xml:space="preserve"> marked as described in VTM-76.</w:t>
      </w:r>
    </w:p>
    <w:p w14:paraId="0B2E52B4" w14:textId="77777777" w:rsidR="00DB7AF9" w:rsidRDefault="00DB7AF9" w:rsidP="006F4A03">
      <w:pPr>
        <w:pStyle w:val="Pa1"/>
        <w:numPr>
          <w:ilvl w:val="0"/>
          <w:numId w:val="4"/>
        </w:numPr>
        <w:spacing w:after="240" w:line="240" w:lineRule="auto"/>
        <w:ind w:left="360"/>
        <w:jc w:val="both"/>
        <w:rPr>
          <w:rStyle w:val="A0"/>
          <w:rFonts w:ascii="Arial" w:hAnsi="Arial" w:cs="Arial"/>
          <w:sz w:val="20"/>
          <w:szCs w:val="20"/>
        </w:rPr>
      </w:pPr>
      <w:r w:rsidRPr="000B1522">
        <w:rPr>
          <w:rStyle w:val="A0"/>
          <w:rFonts w:ascii="Arial" w:hAnsi="Arial" w:cs="Arial"/>
          <w:color w:val="auto"/>
          <w:sz w:val="20"/>
          <w:szCs w:val="20"/>
        </w:rPr>
        <w:t>The bulk specific gravity of the cores shall be deter</w:t>
      </w:r>
      <w:r>
        <w:rPr>
          <w:rStyle w:val="A0"/>
          <w:rFonts w:ascii="Arial" w:hAnsi="Arial" w:cs="Arial"/>
          <w:sz w:val="20"/>
          <w:szCs w:val="20"/>
        </w:rPr>
        <w:t>mined in accordance with VTM-6.</w:t>
      </w:r>
    </w:p>
    <w:p w14:paraId="0B2767BC" w14:textId="77777777" w:rsidR="00DB7AF9" w:rsidRDefault="00DB7AF9" w:rsidP="006F4A03">
      <w:pPr>
        <w:pStyle w:val="Pa1"/>
        <w:numPr>
          <w:ilvl w:val="0"/>
          <w:numId w:val="4"/>
        </w:numPr>
        <w:spacing w:after="240" w:line="240" w:lineRule="auto"/>
        <w:ind w:left="360"/>
        <w:jc w:val="both"/>
        <w:rPr>
          <w:rStyle w:val="A0"/>
          <w:rFonts w:ascii="Arial" w:hAnsi="Arial" w:cs="Arial"/>
          <w:sz w:val="20"/>
          <w:szCs w:val="20"/>
        </w:rPr>
      </w:pPr>
      <w:r w:rsidRPr="000B1522">
        <w:rPr>
          <w:rStyle w:val="A0"/>
          <w:rFonts w:ascii="Arial" w:hAnsi="Arial" w:cs="Arial"/>
          <w:color w:val="auto"/>
          <w:sz w:val="20"/>
          <w:szCs w:val="20"/>
        </w:rPr>
        <w:lastRenderedPageBreak/>
        <w:t>The density of the cores shall be determ</w:t>
      </w:r>
      <w:r>
        <w:rPr>
          <w:rStyle w:val="A0"/>
          <w:rFonts w:ascii="Arial" w:hAnsi="Arial" w:cs="Arial"/>
          <w:sz w:val="20"/>
          <w:szCs w:val="20"/>
        </w:rPr>
        <w:t>ined in accordance with VTM-22.</w:t>
      </w:r>
    </w:p>
    <w:p w14:paraId="01C34E73" w14:textId="199B7A32" w:rsidR="00DB7AF9" w:rsidRDefault="00DB7AF9" w:rsidP="006F4A03">
      <w:pPr>
        <w:pStyle w:val="Pa1"/>
        <w:spacing w:after="240" w:line="240" w:lineRule="auto"/>
        <w:jc w:val="both"/>
        <w:rPr>
          <w:rStyle w:val="A0"/>
          <w:rFonts w:ascii="Arial" w:hAnsi="Arial" w:cs="Arial"/>
          <w:sz w:val="20"/>
          <w:szCs w:val="20"/>
        </w:rPr>
      </w:pPr>
      <w:r w:rsidRPr="000B1522">
        <w:rPr>
          <w:rStyle w:val="A0"/>
          <w:rFonts w:ascii="Arial" w:hAnsi="Arial" w:cs="Arial"/>
          <w:color w:val="auto"/>
          <w:sz w:val="20"/>
          <w:szCs w:val="20"/>
        </w:rPr>
        <w:t xml:space="preserve">The Contractor shall bulk the cores or plugs in the presence of the Engineer. The cores or plugs may be bulked on the project site. Sublot test sites shall be numbered sequentially per lot, marked on the pavement, filled with the paving mixture, and compacted prior to completion of each day’s production. The payment for </w:t>
      </w:r>
      <w:proofErr w:type="spellStart"/>
      <w:r w:rsidRPr="000B1522">
        <w:rPr>
          <w:rStyle w:val="A0"/>
          <w:rFonts w:ascii="Arial" w:hAnsi="Arial" w:cs="Arial"/>
          <w:color w:val="auto"/>
          <w:sz w:val="20"/>
          <w:szCs w:val="20"/>
        </w:rPr>
        <w:t>lot</w:t>
      </w:r>
      <w:proofErr w:type="spellEnd"/>
      <w:r w:rsidRPr="000B1522">
        <w:rPr>
          <w:rStyle w:val="A0"/>
          <w:rFonts w:ascii="Arial" w:hAnsi="Arial" w:cs="Arial"/>
          <w:color w:val="auto"/>
          <w:sz w:val="20"/>
          <w:szCs w:val="20"/>
        </w:rPr>
        <w:t xml:space="preserve"> density will be in accordance with the following schedule:</w:t>
      </w:r>
    </w:p>
    <w:tbl>
      <w:tblPr>
        <w:tblStyle w:val="TableGrid"/>
        <w:tblW w:w="0" w:type="auto"/>
        <w:tblInd w:w="198"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2430"/>
      </w:tblGrid>
      <w:tr w:rsidR="00DB7AF9" w14:paraId="2992B4FB" w14:textId="77777777" w:rsidTr="007D62DA">
        <w:tc>
          <w:tcPr>
            <w:tcW w:w="4950" w:type="dxa"/>
            <w:gridSpan w:val="2"/>
            <w:tcBorders>
              <w:bottom w:val="single" w:sz="4" w:space="0" w:color="auto"/>
            </w:tcBorders>
          </w:tcPr>
          <w:p w14:paraId="3CA53944" w14:textId="77777777" w:rsidR="00DB7AF9" w:rsidRDefault="00DB7AF9" w:rsidP="007D62DA">
            <w:pPr>
              <w:pStyle w:val="Pa1"/>
              <w:jc w:val="center"/>
              <w:rPr>
                <w:rStyle w:val="A0"/>
                <w:rFonts w:ascii="Arial" w:hAnsi="Arial" w:cs="Arial"/>
                <w:sz w:val="20"/>
                <w:szCs w:val="20"/>
              </w:rPr>
            </w:pPr>
            <w:r w:rsidRPr="000B1522">
              <w:rPr>
                <w:rStyle w:val="A0"/>
                <w:rFonts w:ascii="Arial" w:hAnsi="Arial" w:cs="Arial"/>
                <w:b/>
                <w:bCs/>
                <w:sz w:val="20"/>
                <w:szCs w:val="20"/>
              </w:rPr>
              <w:t>Payment Schedule</w:t>
            </w:r>
          </w:p>
        </w:tc>
      </w:tr>
      <w:tr w:rsidR="00DB7AF9" w14:paraId="1CA9613C" w14:textId="77777777" w:rsidTr="007D62DA">
        <w:tc>
          <w:tcPr>
            <w:tcW w:w="2520" w:type="dxa"/>
            <w:tcBorders>
              <w:top w:val="single" w:sz="4" w:space="0" w:color="auto"/>
              <w:bottom w:val="single" w:sz="4" w:space="0" w:color="auto"/>
            </w:tcBorders>
          </w:tcPr>
          <w:p w14:paraId="7C35D267" w14:textId="77777777" w:rsidR="00DB7AF9" w:rsidRDefault="00DB7AF9" w:rsidP="007D62DA">
            <w:pPr>
              <w:pStyle w:val="Pa1"/>
              <w:jc w:val="center"/>
              <w:rPr>
                <w:rStyle w:val="A0"/>
                <w:rFonts w:ascii="Arial" w:hAnsi="Arial" w:cs="Arial"/>
                <w:sz w:val="20"/>
                <w:szCs w:val="20"/>
              </w:rPr>
            </w:pPr>
            <w:r w:rsidRPr="000B1522">
              <w:rPr>
                <w:rStyle w:val="A0"/>
                <w:rFonts w:ascii="Arial" w:hAnsi="Arial" w:cs="Arial"/>
                <w:b/>
                <w:bCs/>
                <w:sz w:val="20"/>
                <w:szCs w:val="20"/>
              </w:rPr>
              <w:t>% Density Achieved</w:t>
            </w:r>
          </w:p>
        </w:tc>
        <w:tc>
          <w:tcPr>
            <w:tcW w:w="2430" w:type="dxa"/>
            <w:tcBorders>
              <w:top w:val="single" w:sz="4" w:space="0" w:color="auto"/>
              <w:bottom w:val="single" w:sz="4" w:space="0" w:color="auto"/>
            </w:tcBorders>
          </w:tcPr>
          <w:p w14:paraId="37D5B5BA" w14:textId="77777777" w:rsidR="00DB7AF9" w:rsidRDefault="00DB7AF9" w:rsidP="007D62DA">
            <w:pPr>
              <w:pStyle w:val="Pa1"/>
              <w:jc w:val="center"/>
              <w:rPr>
                <w:rStyle w:val="A0"/>
                <w:rFonts w:ascii="Arial" w:hAnsi="Arial" w:cs="Arial"/>
                <w:sz w:val="20"/>
                <w:szCs w:val="20"/>
              </w:rPr>
            </w:pPr>
            <w:r w:rsidRPr="000B1522">
              <w:rPr>
                <w:rStyle w:val="A0"/>
                <w:rFonts w:ascii="Arial" w:hAnsi="Arial" w:cs="Arial"/>
                <w:b/>
                <w:bCs/>
                <w:sz w:val="20"/>
                <w:szCs w:val="20"/>
              </w:rPr>
              <w:t>% of Payment</w:t>
            </w:r>
          </w:p>
        </w:tc>
      </w:tr>
      <w:tr w:rsidR="00DB7AF9" w14:paraId="49806385" w14:textId="77777777" w:rsidTr="007D62DA">
        <w:tc>
          <w:tcPr>
            <w:tcW w:w="2520" w:type="dxa"/>
            <w:tcBorders>
              <w:top w:val="single" w:sz="4" w:space="0" w:color="auto"/>
            </w:tcBorders>
          </w:tcPr>
          <w:p w14:paraId="29040B46" w14:textId="77777777" w:rsidR="00DB7AF9" w:rsidRDefault="00DB7AF9" w:rsidP="007D62DA">
            <w:pPr>
              <w:pStyle w:val="Pa1"/>
              <w:jc w:val="center"/>
              <w:rPr>
                <w:rStyle w:val="A0"/>
                <w:rFonts w:ascii="Arial" w:hAnsi="Arial" w:cs="Arial"/>
                <w:sz w:val="20"/>
                <w:szCs w:val="20"/>
              </w:rPr>
            </w:pPr>
            <w:r w:rsidRPr="000B1522">
              <w:rPr>
                <w:rStyle w:val="A0"/>
                <w:rFonts w:ascii="Arial" w:hAnsi="Arial" w:cs="Arial"/>
                <w:sz w:val="20"/>
                <w:szCs w:val="20"/>
              </w:rPr>
              <w:t>More than 98.0</w:t>
            </w:r>
          </w:p>
        </w:tc>
        <w:tc>
          <w:tcPr>
            <w:tcW w:w="2430" w:type="dxa"/>
            <w:tcBorders>
              <w:top w:val="single" w:sz="4" w:space="0" w:color="auto"/>
            </w:tcBorders>
          </w:tcPr>
          <w:p w14:paraId="1B31330E" w14:textId="77777777" w:rsidR="00DB7AF9" w:rsidRDefault="00DB7AF9" w:rsidP="007D62DA">
            <w:pPr>
              <w:pStyle w:val="Pa1"/>
              <w:jc w:val="center"/>
              <w:rPr>
                <w:rStyle w:val="A0"/>
                <w:rFonts w:ascii="Arial" w:hAnsi="Arial" w:cs="Arial"/>
                <w:sz w:val="20"/>
                <w:szCs w:val="20"/>
              </w:rPr>
            </w:pPr>
            <w:r w:rsidRPr="000B1522">
              <w:rPr>
                <w:rStyle w:val="A0"/>
                <w:rFonts w:ascii="Arial" w:hAnsi="Arial" w:cs="Arial"/>
                <w:sz w:val="20"/>
                <w:szCs w:val="20"/>
              </w:rPr>
              <w:t>97</w:t>
            </w:r>
          </w:p>
        </w:tc>
      </w:tr>
      <w:tr w:rsidR="00DB7AF9" w14:paraId="6526189A" w14:textId="77777777" w:rsidTr="007D62DA">
        <w:tc>
          <w:tcPr>
            <w:tcW w:w="2520" w:type="dxa"/>
          </w:tcPr>
          <w:p w14:paraId="5D76D170" w14:textId="77777777" w:rsidR="00DB7AF9" w:rsidRPr="000B1522" w:rsidRDefault="00DB7AF9" w:rsidP="007D62DA">
            <w:pPr>
              <w:pStyle w:val="Pa1"/>
              <w:jc w:val="center"/>
              <w:rPr>
                <w:rStyle w:val="A0"/>
                <w:rFonts w:ascii="Arial" w:hAnsi="Arial" w:cs="Arial"/>
                <w:sz w:val="20"/>
                <w:szCs w:val="20"/>
              </w:rPr>
            </w:pPr>
            <w:r w:rsidRPr="000B1522">
              <w:rPr>
                <w:rStyle w:val="A0"/>
                <w:rFonts w:ascii="Arial" w:hAnsi="Arial" w:cs="Arial"/>
                <w:sz w:val="20"/>
                <w:szCs w:val="20"/>
              </w:rPr>
              <w:t>94.0 to 98.0</w:t>
            </w:r>
          </w:p>
        </w:tc>
        <w:tc>
          <w:tcPr>
            <w:tcW w:w="2430" w:type="dxa"/>
          </w:tcPr>
          <w:p w14:paraId="324D93A6" w14:textId="77777777" w:rsidR="00DB7AF9" w:rsidRPr="000B1522" w:rsidRDefault="00DB7AF9" w:rsidP="007D62DA">
            <w:pPr>
              <w:pStyle w:val="Pa1"/>
              <w:jc w:val="center"/>
              <w:rPr>
                <w:rStyle w:val="A0"/>
                <w:rFonts w:ascii="Arial" w:hAnsi="Arial" w:cs="Arial"/>
                <w:sz w:val="20"/>
                <w:szCs w:val="20"/>
              </w:rPr>
            </w:pPr>
            <w:r w:rsidRPr="000B1522">
              <w:rPr>
                <w:rStyle w:val="A0"/>
                <w:rFonts w:ascii="Arial" w:hAnsi="Arial" w:cs="Arial"/>
                <w:sz w:val="20"/>
                <w:szCs w:val="20"/>
              </w:rPr>
              <w:t>100</w:t>
            </w:r>
          </w:p>
        </w:tc>
      </w:tr>
      <w:tr w:rsidR="00DB7AF9" w14:paraId="2F541236" w14:textId="77777777" w:rsidTr="007D62DA">
        <w:tc>
          <w:tcPr>
            <w:tcW w:w="2520" w:type="dxa"/>
          </w:tcPr>
          <w:p w14:paraId="018AA8DC" w14:textId="77777777" w:rsidR="00DB7AF9" w:rsidRPr="000B1522" w:rsidRDefault="00DB7AF9" w:rsidP="007D62DA">
            <w:pPr>
              <w:pStyle w:val="Pa1"/>
              <w:jc w:val="center"/>
              <w:rPr>
                <w:rStyle w:val="A0"/>
                <w:rFonts w:ascii="Arial" w:hAnsi="Arial" w:cs="Arial"/>
                <w:sz w:val="20"/>
                <w:szCs w:val="20"/>
              </w:rPr>
            </w:pPr>
            <w:r w:rsidRPr="000B1522">
              <w:rPr>
                <w:rStyle w:val="A0"/>
                <w:rFonts w:ascii="Arial" w:hAnsi="Arial" w:cs="Arial"/>
                <w:sz w:val="20"/>
                <w:szCs w:val="20"/>
              </w:rPr>
              <w:t>92.0 to 93.9</w:t>
            </w:r>
          </w:p>
        </w:tc>
        <w:tc>
          <w:tcPr>
            <w:tcW w:w="2430" w:type="dxa"/>
          </w:tcPr>
          <w:p w14:paraId="3F7CBC64" w14:textId="77777777" w:rsidR="00DB7AF9" w:rsidRPr="000B1522" w:rsidRDefault="00DB7AF9" w:rsidP="007D62DA">
            <w:pPr>
              <w:pStyle w:val="Pa1"/>
              <w:jc w:val="center"/>
              <w:rPr>
                <w:rStyle w:val="A0"/>
                <w:rFonts w:ascii="Arial" w:hAnsi="Arial" w:cs="Arial"/>
                <w:sz w:val="20"/>
                <w:szCs w:val="20"/>
              </w:rPr>
            </w:pPr>
            <w:r w:rsidRPr="000B1522">
              <w:rPr>
                <w:rStyle w:val="A0"/>
                <w:rFonts w:ascii="Arial" w:hAnsi="Arial" w:cs="Arial"/>
                <w:sz w:val="20"/>
                <w:szCs w:val="20"/>
              </w:rPr>
              <w:t>85</w:t>
            </w:r>
          </w:p>
        </w:tc>
      </w:tr>
      <w:tr w:rsidR="00DB7AF9" w14:paraId="548B0C85" w14:textId="77777777" w:rsidTr="007D62DA">
        <w:tc>
          <w:tcPr>
            <w:tcW w:w="2520" w:type="dxa"/>
          </w:tcPr>
          <w:p w14:paraId="474B644E" w14:textId="77777777" w:rsidR="00DB7AF9" w:rsidRPr="000B1522" w:rsidRDefault="00DB7AF9" w:rsidP="007D62DA">
            <w:pPr>
              <w:pStyle w:val="Pa1"/>
              <w:jc w:val="center"/>
              <w:rPr>
                <w:rStyle w:val="A0"/>
                <w:rFonts w:ascii="Arial" w:hAnsi="Arial" w:cs="Arial"/>
                <w:sz w:val="20"/>
                <w:szCs w:val="20"/>
              </w:rPr>
            </w:pPr>
            <w:r w:rsidRPr="000B1522">
              <w:rPr>
                <w:rStyle w:val="A0"/>
                <w:rFonts w:ascii="Arial" w:hAnsi="Arial" w:cs="Arial"/>
                <w:sz w:val="20"/>
                <w:szCs w:val="20"/>
              </w:rPr>
              <w:t>90.0 to 91.9</w:t>
            </w:r>
          </w:p>
        </w:tc>
        <w:tc>
          <w:tcPr>
            <w:tcW w:w="2430" w:type="dxa"/>
          </w:tcPr>
          <w:p w14:paraId="3253D123" w14:textId="77777777" w:rsidR="00DB7AF9" w:rsidRPr="000B1522" w:rsidRDefault="00DB7AF9" w:rsidP="007D62DA">
            <w:pPr>
              <w:pStyle w:val="Pa1"/>
              <w:jc w:val="center"/>
              <w:rPr>
                <w:rStyle w:val="A0"/>
                <w:rFonts w:ascii="Arial" w:hAnsi="Arial" w:cs="Arial"/>
                <w:sz w:val="20"/>
                <w:szCs w:val="20"/>
              </w:rPr>
            </w:pPr>
            <w:r w:rsidRPr="000B1522">
              <w:rPr>
                <w:rStyle w:val="A0"/>
                <w:rFonts w:ascii="Arial" w:hAnsi="Arial" w:cs="Arial"/>
                <w:sz w:val="20"/>
                <w:szCs w:val="20"/>
              </w:rPr>
              <w:t>65</w:t>
            </w:r>
          </w:p>
        </w:tc>
      </w:tr>
      <w:tr w:rsidR="00DB7AF9" w14:paraId="07FE6A3C" w14:textId="77777777" w:rsidTr="007D62DA">
        <w:tc>
          <w:tcPr>
            <w:tcW w:w="2520" w:type="dxa"/>
          </w:tcPr>
          <w:p w14:paraId="756C3E3A" w14:textId="77777777" w:rsidR="00DB7AF9" w:rsidRPr="000B1522" w:rsidRDefault="00DB7AF9" w:rsidP="007D62DA">
            <w:pPr>
              <w:pStyle w:val="Pa1"/>
              <w:jc w:val="center"/>
              <w:rPr>
                <w:rStyle w:val="A0"/>
                <w:rFonts w:ascii="Arial" w:hAnsi="Arial" w:cs="Arial"/>
                <w:sz w:val="20"/>
                <w:szCs w:val="20"/>
              </w:rPr>
            </w:pPr>
            <w:r w:rsidRPr="000B1522">
              <w:rPr>
                <w:rStyle w:val="A0"/>
                <w:rFonts w:ascii="Arial" w:hAnsi="Arial" w:cs="Arial"/>
                <w:sz w:val="20"/>
                <w:szCs w:val="20"/>
              </w:rPr>
              <w:t>Less than 90.0</w:t>
            </w:r>
          </w:p>
        </w:tc>
        <w:tc>
          <w:tcPr>
            <w:tcW w:w="2430" w:type="dxa"/>
          </w:tcPr>
          <w:p w14:paraId="549C3732" w14:textId="77777777" w:rsidR="00DB7AF9" w:rsidRPr="000B1522" w:rsidRDefault="00DB7AF9" w:rsidP="007D62DA">
            <w:pPr>
              <w:pStyle w:val="Pa1"/>
              <w:jc w:val="center"/>
              <w:rPr>
                <w:rStyle w:val="A0"/>
                <w:rFonts w:ascii="Arial" w:hAnsi="Arial" w:cs="Arial"/>
                <w:sz w:val="20"/>
                <w:szCs w:val="20"/>
              </w:rPr>
            </w:pPr>
            <w:r w:rsidRPr="000B1522">
              <w:rPr>
                <w:rStyle w:val="A0"/>
                <w:rFonts w:ascii="Arial" w:hAnsi="Arial" w:cs="Arial"/>
                <w:sz w:val="20"/>
                <w:szCs w:val="20"/>
              </w:rPr>
              <w:t>Remove and replace</w:t>
            </w:r>
          </w:p>
        </w:tc>
      </w:tr>
    </w:tbl>
    <w:p w14:paraId="463E36F2" w14:textId="77777777" w:rsidR="00DB7AF9" w:rsidRPr="00DC2BE2" w:rsidRDefault="00DB7AF9" w:rsidP="006F4A03">
      <w:pPr>
        <w:pStyle w:val="Pa1"/>
        <w:spacing w:line="240" w:lineRule="auto"/>
        <w:jc w:val="both"/>
        <w:rPr>
          <w:rStyle w:val="A0"/>
          <w:rFonts w:ascii="Arial" w:hAnsi="Arial" w:cs="Arial"/>
          <w:bCs/>
          <w:sz w:val="20"/>
          <w:szCs w:val="20"/>
        </w:rPr>
      </w:pPr>
    </w:p>
    <w:p w14:paraId="5BCEAFC3" w14:textId="77777777" w:rsidR="00DB7AF9" w:rsidRPr="00DC2BE2" w:rsidRDefault="00DB7AF9" w:rsidP="006F4A03">
      <w:pPr>
        <w:pStyle w:val="Pa1"/>
        <w:spacing w:after="240" w:line="240" w:lineRule="auto"/>
        <w:jc w:val="both"/>
        <w:outlineLvl w:val="1"/>
        <w:rPr>
          <w:rStyle w:val="A0"/>
          <w:rFonts w:ascii="Arial" w:hAnsi="Arial" w:cs="Arial"/>
          <w:bCs/>
          <w:sz w:val="20"/>
          <w:szCs w:val="20"/>
        </w:rPr>
      </w:pPr>
      <w:r>
        <w:rPr>
          <w:rStyle w:val="A0"/>
          <w:rFonts w:ascii="Arial" w:hAnsi="Arial" w:cs="Arial"/>
          <w:b/>
          <w:bCs/>
          <w:sz w:val="20"/>
          <w:szCs w:val="20"/>
        </w:rPr>
        <w:t>317.09 – Trial Section</w:t>
      </w:r>
    </w:p>
    <w:p w14:paraId="2339C17B" w14:textId="77777777" w:rsidR="00DB7AF9" w:rsidRDefault="00DB7AF9" w:rsidP="006F4A03">
      <w:pPr>
        <w:pStyle w:val="Pa1"/>
        <w:spacing w:after="240" w:line="240" w:lineRule="auto"/>
        <w:jc w:val="both"/>
        <w:rPr>
          <w:rStyle w:val="A0"/>
          <w:rFonts w:ascii="Arial" w:hAnsi="Arial" w:cs="Arial"/>
          <w:sz w:val="20"/>
          <w:szCs w:val="20"/>
        </w:rPr>
      </w:pPr>
      <w:r w:rsidRPr="000B1522">
        <w:rPr>
          <w:rStyle w:val="A0"/>
          <w:rFonts w:ascii="Arial" w:hAnsi="Arial" w:cs="Arial"/>
          <w:sz w:val="20"/>
          <w:szCs w:val="20"/>
        </w:rPr>
        <w:t xml:space="preserve">The Engineer will require the Contractor to construct a trial section(s) for evaluation at least 1 week, but not more than 30 days, prior to the start of roadway construction at the start of production of a SMA mix not placed the previous year on a state roadway. The trial section shall be a maximum of 300 tons, shall be constructed at a site designated in the contract or proposed by the Contractor and approved by the Engineer. The Department will use the trial section to evaluate the mixing plant process control, mixture </w:t>
      </w:r>
      <w:proofErr w:type="spellStart"/>
      <w:r w:rsidRPr="000B1522">
        <w:rPr>
          <w:rStyle w:val="A0"/>
          <w:rFonts w:ascii="Arial" w:hAnsi="Arial" w:cs="Arial"/>
          <w:sz w:val="20"/>
          <w:szCs w:val="20"/>
        </w:rPr>
        <w:t>draindown</w:t>
      </w:r>
      <w:proofErr w:type="spellEnd"/>
      <w:r w:rsidRPr="000B1522">
        <w:rPr>
          <w:rStyle w:val="A0"/>
          <w:rFonts w:ascii="Arial" w:hAnsi="Arial" w:cs="Arial"/>
          <w:sz w:val="20"/>
          <w:szCs w:val="20"/>
        </w:rPr>
        <w:t xml:space="preserve"> characteristics, placement procedures, SMA surface appearance, and compaction patterns and to calibrate the nuclear density device. Additionally, the Department will calculate the percentage of flat and elongated particles in the SMA material produced for the trial section according to VTM-121 and compare the results to the maximum limits specified in the Coarse Aggregate Table in Section 248.02(a). The Engineer will require a passing flat and elongated sample for ac</w:t>
      </w:r>
      <w:r>
        <w:rPr>
          <w:rStyle w:val="A0"/>
          <w:rFonts w:ascii="Arial" w:hAnsi="Arial" w:cs="Arial"/>
          <w:sz w:val="20"/>
          <w:szCs w:val="20"/>
        </w:rPr>
        <w:t>ceptance of the trial section.</w:t>
      </w:r>
    </w:p>
    <w:p w14:paraId="79C045E6" w14:textId="77777777" w:rsidR="00DB7AF9" w:rsidRDefault="00DB7AF9" w:rsidP="006F4A03">
      <w:pPr>
        <w:pStyle w:val="Pa1"/>
        <w:spacing w:after="240" w:line="240" w:lineRule="auto"/>
        <w:jc w:val="both"/>
        <w:rPr>
          <w:rStyle w:val="A0"/>
          <w:rFonts w:ascii="Arial" w:hAnsi="Arial" w:cs="Arial"/>
          <w:sz w:val="20"/>
          <w:szCs w:val="20"/>
        </w:rPr>
      </w:pPr>
      <w:r w:rsidRPr="000B1522">
        <w:rPr>
          <w:rStyle w:val="A0"/>
          <w:rFonts w:ascii="Arial" w:hAnsi="Arial" w:cs="Arial"/>
          <w:sz w:val="20"/>
          <w:szCs w:val="20"/>
        </w:rPr>
        <w:t>During the trial section(s), the Engineer will randomly select 3 plugs or cores locations to determine the in-place density according to VTM-22. Payment for density will be in accordance with the Payment Schedule listed in S</w:t>
      </w:r>
      <w:r>
        <w:rPr>
          <w:rStyle w:val="A0"/>
          <w:rFonts w:ascii="Arial" w:hAnsi="Arial" w:cs="Arial"/>
          <w:sz w:val="20"/>
          <w:szCs w:val="20"/>
        </w:rPr>
        <w:t>ec. 317.08.</w:t>
      </w:r>
    </w:p>
    <w:p w14:paraId="60468DED" w14:textId="7CAB9877" w:rsidR="00DB7AF9" w:rsidRDefault="00DB7AF9" w:rsidP="006F4A03">
      <w:pPr>
        <w:pStyle w:val="Pa1"/>
        <w:spacing w:after="240" w:line="240" w:lineRule="auto"/>
        <w:jc w:val="both"/>
        <w:rPr>
          <w:rStyle w:val="A0"/>
          <w:rFonts w:ascii="Arial" w:hAnsi="Arial" w:cs="Arial"/>
          <w:sz w:val="20"/>
          <w:szCs w:val="20"/>
        </w:rPr>
      </w:pPr>
      <w:r w:rsidRPr="000B1522">
        <w:rPr>
          <w:rStyle w:val="A0"/>
          <w:rFonts w:ascii="Arial" w:hAnsi="Arial" w:cs="Arial"/>
          <w:sz w:val="20"/>
          <w:szCs w:val="20"/>
        </w:rPr>
        <w:t>The Contractor shall remove and replace failing trial sections based on the following criteria. The Engineer will deem a trial section to have failed if the Voids In Total Mix (VTM) is less than 1.0 percent or exceeds 5.0 percent; if the Voids In Coarse Aggregate (VCA) of the mix exceeds the VCA of the dry rodded condition; if the field density is less than 90.0 percent of the maximum theoretical density; or if excessive flushing/bleeding occurs in the wheel paths. Payment for the trial section shall be as described in the previous paragraph. The Contractor shall be responsible for the cost for removing the failed trial section. Payment for replacement of the trial section shall be in accordan</w:t>
      </w:r>
      <w:r>
        <w:rPr>
          <w:rStyle w:val="A0"/>
          <w:rFonts w:ascii="Arial" w:hAnsi="Arial" w:cs="Arial"/>
          <w:sz w:val="20"/>
          <w:szCs w:val="20"/>
        </w:rPr>
        <w:t>ce with the previous paragraph.</w:t>
      </w:r>
    </w:p>
    <w:p w14:paraId="0DBFA33A" w14:textId="77777777" w:rsidR="00DB7AF9" w:rsidRPr="00DC2BE2" w:rsidRDefault="00DB7AF9" w:rsidP="006F4A03">
      <w:pPr>
        <w:pStyle w:val="Pa1"/>
        <w:spacing w:after="240" w:line="240" w:lineRule="auto"/>
        <w:jc w:val="both"/>
        <w:outlineLvl w:val="1"/>
        <w:rPr>
          <w:rStyle w:val="A0"/>
          <w:rFonts w:ascii="Arial" w:hAnsi="Arial" w:cs="Arial"/>
          <w:bCs/>
          <w:sz w:val="20"/>
          <w:szCs w:val="20"/>
        </w:rPr>
      </w:pPr>
      <w:r>
        <w:rPr>
          <w:rStyle w:val="A0"/>
          <w:rFonts w:ascii="Arial" w:hAnsi="Arial" w:cs="Arial"/>
          <w:b/>
          <w:bCs/>
          <w:sz w:val="20"/>
          <w:szCs w:val="20"/>
        </w:rPr>
        <w:t xml:space="preserve">317.10 – </w:t>
      </w:r>
      <w:proofErr w:type="spellStart"/>
      <w:r>
        <w:rPr>
          <w:rStyle w:val="A0"/>
          <w:rFonts w:ascii="Arial" w:hAnsi="Arial" w:cs="Arial"/>
          <w:b/>
          <w:bCs/>
          <w:sz w:val="20"/>
          <w:szCs w:val="20"/>
        </w:rPr>
        <w:t>Prepaving</w:t>
      </w:r>
      <w:proofErr w:type="spellEnd"/>
      <w:r>
        <w:rPr>
          <w:rStyle w:val="A0"/>
          <w:rFonts w:ascii="Arial" w:hAnsi="Arial" w:cs="Arial"/>
          <w:b/>
          <w:bCs/>
          <w:sz w:val="20"/>
          <w:szCs w:val="20"/>
        </w:rPr>
        <w:t xml:space="preserve"> Conference</w:t>
      </w:r>
    </w:p>
    <w:p w14:paraId="0BE5B1A7" w14:textId="77777777" w:rsidR="00DB7AF9" w:rsidRDefault="00DB7AF9" w:rsidP="006F4A03">
      <w:pPr>
        <w:pStyle w:val="Pa1"/>
        <w:spacing w:after="240" w:line="240" w:lineRule="auto"/>
        <w:jc w:val="both"/>
        <w:rPr>
          <w:rStyle w:val="A0"/>
          <w:rFonts w:ascii="Arial" w:hAnsi="Arial" w:cs="Arial"/>
          <w:sz w:val="20"/>
          <w:szCs w:val="20"/>
        </w:rPr>
      </w:pPr>
      <w:r w:rsidRPr="000B1522">
        <w:rPr>
          <w:rStyle w:val="A0"/>
          <w:rFonts w:ascii="Arial" w:hAnsi="Arial" w:cs="Arial"/>
          <w:sz w:val="20"/>
          <w:szCs w:val="20"/>
        </w:rPr>
        <w:t xml:space="preserve">The Department will hold a </w:t>
      </w:r>
      <w:proofErr w:type="spellStart"/>
      <w:r w:rsidRPr="000B1522">
        <w:rPr>
          <w:rStyle w:val="A0"/>
          <w:rFonts w:ascii="Arial" w:hAnsi="Arial" w:cs="Arial"/>
          <w:sz w:val="20"/>
          <w:szCs w:val="20"/>
        </w:rPr>
        <w:t>prepaving</w:t>
      </w:r>
      <w:proofErr w:type="spellEnd"/>
      <w:r w:rsidRPr="000B1522">
        <w:rPr>
          <w:rStyle w:val="A0"/>
          <w:rFonts w:ascii="Arial" w:hAnsi="Arial" w:cs="Arial"/>
          <w:sz w:val="20"/>
          <w:szCs w:val="20"/>
        </w:rPr>
        <w:t xml:space="preserve"> conference with at least two weeks prior to the start of production if the Contractor has never produced </w:t>
      </w:r>
      <w:r>
        <w:rPr>
          <w:rStyle w:val="A0"/>
          <w:rFonts w:ascii="Arial" w:hAnsi="Arial" w:cs="Arial"/>
          <w:sz w:val="20"/>
          <w:szCs w:val="20"/>
        </w:rPr>
        <w:t>or placed Stone Matrix Asphalt.</w:t>
      </w:r>
    </w:p>
    <w:p w14:paraId="05DD1562" w14:textId="77777777" w:rsidR="00DB7AF9" w:rsidRPr="00DC2BE2" w:rsidRDefault="00DB7AF9" w:rsidP="006F4A03">
      <w:pPr>
        <w:pStyle w:val="Pa1"/>
        <w:spacing w:after="240" w:line="240" w:lineRule="auto"/>
        <w:jc w:val="both"/>
        <w:outlineLvl w:val="1"/>
        <w:rPr>
          <w:rStyle w:val="A0"/>
          <w:rFonts w:ascii="Arial" w:hAnsi="Arial" w:cs="Arial"/>
          <w:bCs/>
          <w:sz w:val="20"/>
          <w:szCs w:val="20"/>
        </w:rPr>
      </w:pPr>
      <w:r>
        <w:rPr>
          <w:rStyle w:val="A0"/>
          <w:rFonts w:ascii="Arial" w:hAnsi="Arial" w:cs="Arial"/>
          <w:b/>
          <w:bCs/>
          <w:sz w:val="20"/>
          <w:szCs w:val="20"/>
        </w:rPr>
        <w:t>317.11 – Measurement and Payment</w:t>
      </w:r>
    </w:p>
    <w:p w14:paraId="0D8A0F8B" w14:textId="77777777" w:rsidR="00DB7AF9" w:rsidRDefault="00DB7AF9" w:rsidP="006F4A03">
      <w:pPr>
        <w:pStyle w:val="Pa1"/>
        <w:spacing w:after="240" w:line="240" w:lineRule="auto"/>
        <w:jc w:val="both"/>
        <w:rPr>
          <w:rStyle w:val="A0"/>
          <w:rFonts w:ascii="Arial" w:hAnsi="Arial" w:cs="Arial"/>
          <w:sz w:val="20"/>
          <w:szCs w:val="20"/>
        </w:rPr>
      </w:pPr>
      <w:r w:rsidRPr="00DC2BE2">
        <w:rPr>
          <w:rStyle w:val="A0"/>
          <w:rFonts w:ascii="Arial" w:hAnsi="Arial" w:cs="Arial"/>
          <w:b/>
          <w:sz w:val="20"/>
          <w:szCs w:val="20"/>
        </w:rPr>
        <w:t>Stone matrix asphal</w:t>
      </w:r>
      <w:r w:rsidRPr="000B1522">
        <w:rPr>
          <w:rStyle w:val="A0"/>
          <w:rFonts w:ascii="Arial" w:hAnsi="Arial" w:cs="Arial"/>
          <w:sz w:val="20"/>
          <w:szCs w:val="20"/>
        </w:rPr>
        <w:t>t will be measured in tons and will be paid for at the contract unit price per ton for the mix type specified. This price shall include all materials, additives, and</w:t>
      </w:r>
      <w:r>
        <w:rPr>
          <w:rStyle w:val="A0"/>
          <w:rFonts w:ascii="Arial" w:hAnsi="Arial" w:cs="Arial"/>
          <w:sz w:val="20"/>
          <w:szCs w:val="20"/>
        </w:rPr>
        <w:t xml:space="preserve"> equipment as described herein.</w:t>
      </w:r>
    </w:p>
    <w:p w14:paraId="04831128" w14:textId="5E05184C" w:rsidR="00DB7AF9" w:rsidRDefault="00DB7AF9" w:rsidP="006F4A03">
      <w:pPr>
        <w:pStyle w:val="Pa1"/>
        <w:spacing w:after="240" w:line="240" w:lineRule="auto"/>
        <w:jc w:val="both"/>
        <w:rPr>
          <w:rStyle w:val="A0"/>
          <w:rFonts w:ascii="Arial" w:hAnsi="Arial" w:cs="Arial"/>
          <w:sz w:val="20"/>
          <w:szCs w:val="20"/>
        </w:rPr>
      </w:pPr>
      <w:r w:rsidRPr="000B1522">
        <w:rPr>
          <w:rStyle w:val="A0"/>
          <w:rFonts w:ascii="Arial" w:hAnsi="Arial" w:cs="Arial"/>
          <w:sz w:val="20"/>
          <w:szCs w:val="20"/>
        </w:rPr>
        <w:t>The initial trial section will be paid for at the contract unit price for the mix type specified. Up to one ad</w:t>
      </w:r>
      <w:bookmarkStart w:id="0" w:name="_GoBack"/>
      <w:bookmarkEnd w:id="0"/>
      <w:r w:rsidRPr="000B1522">
        <w:rPr>
          <w:rStyle w:val="A0"/>
          <w:rFonts w:ascii="Arial" w:hAnsi="Arial" w:cs="Arial"/>
          <w:sz w:val="20"/>
          <w:szCs w:val="20"/>
        </w:rPr>
        <w:t xml:space="preserve">ditional trial section of the </w:t>
      </w:r>
      <w:proofErr w:type="gramStart"/>
      <w:r w:rsidRPr="000B1522">
        <w:rPr>
          <w:rStyle w:val="A0"/>
          <w:rFonts w:ascii="Arial" w:hAnsi="Arial" w:cs="Arial"/>
          <w:sz w:val="20"/>
          <w:szCs w:val="20"/>
        </w:rPr>
        <w:t>mix</w:t>
      </w:r>
      <w:proofErr w:type="gramEnd"/>
      <w:r w:rsidRPr="000B1522">
        <w:rPr>
          <w:rStyle w:val="A0"/>
          <w:rFonts w:ascii="Arial" w:hAnsi="Arial" w:cs="Arial"/>
          <w:sz w:val="20"/>
          <w:szCs w:val="20"/>
        </w:rPr>
        <w:t xml:space="preserve"> type specified will be paid for at the contract unit price. If additional trial sections are needed, the Department and the Contractor shall negotiate the price based upon a reduced percentage of the contract unit price. The Department will pay for no more than four trial sections. The Contractor shall </w:t>
      </w:r>
      <w:r w:rsidRPr="000B1522">
        <w:rPr>
          <w:rStyle w:val="A0"/>
          <w:rFonts w:ascii="Arial" w:hAnsi="Arial" w:cs="Arial"/>
          <w:sz w:val="20"/>
          <w:szCs w:val="20"/>
        </w:rPr>
        <w:lastRenderedPageBreak/>
        <w:t>be fully responsible for any additional test sections required to produce and install an acceptable mixture at the Contractor’s e</w:t>
      </w:r>
      <w:r>
        <w:rPr>
          <w:rStyle w:val="A0"/>
          <w:rFonts w:ascii="Arial" w:hAnsi="Arial" w:cs="Arial"/>
          <w:sz w:val="20"/>
          <w:szCs w:val="20"/>
        </w:rPr>
        <w:t>xpense.</w:t>
      </w:r>
    </w:p>
    <w:p w14:paraId="3335CDD9" w14:textId="77777777" w:rsidR="00DB7AF9" w:rsidRDefault="00DB7AF9" w:rsidP="006F4A03">
      <w:pPr>
        <w:pStyle w:val="Pa1"/>
        <w:spacing w:after="240" w:line="240" w:lineRule="auto"/>
        <w:jc w:val="both"/>
        <w:rPr>
          <w:rStyle w:val="A0"/>
          <w:rFonts w:ascii="Arial" w:hAnsi="Arial" w:cs="Arial"/>
          <w:sz w:val="20"/>
          <w:szCs w:val="20"/>
        </w:rPr>
      </w:pPr>
      <w:r w:rsidRPr="000B1522">
        <w:rPr>
          <w:rStyle w:val="A0"/>
          <w:rFonts w:ascii="Arial" w:hAnsi="Arial" w:cs="Arial"/>
          <w:sz w:val="20"/>
          <w:szCs w:val="20"/>
        </w:rPr>
        <w:t>Payment will be made under:</w:t>
      </w:r>
    </w:p>
    <w:tbl>
      <w:tblPr>
        <w:tblStyle w:val="TableGrid"/>
        <w:tblW w:w="0" w:type="auto"/>
        <w:tblInd w:w="198" w:type="dxa"/>
        <w:tblBorders>
          <w:left w:val="none" w:sz="0" w:space="0" w:color="auto"/>
          <w:right w:val="none" w:sz="0" w:space="0" w:color="auto"/>
          <w:insideV w:val="none" w:sz="0" w:space="0" w:color="auto"/>
        </w:tblBorders>
        <w:tblLook w:val="04A0" w:firstRow="1" w:lastRow="0" w:firstColumn="1" w:lastColumn="0" w:noHBand="0" w:noVBand="1"/>
      </w:tblPr>
      <w:tblGrid>
        <w:gridCol w:w="3600"/>
        <w:gridCol w:w="1530"/>
      </w:tblGrid>
      <w:tr w:rsidR="00DB7AF9" w14:paraId="5FD66834" w14:textId="77777777" w:rsidTr="007D62DA">
        <w:tc>
          <w:tcPr>
            <w:tcW w:w="3600" w:type="dxa"/>
          </w:tcPr>
          <w:p w14:paraId="3226DF04" w14:textId="77777777" w:rsidR="00DB7AF9" w:rsidRDefault="00DB7AF9" w:rsidP="007D62DA">
            <w:pPr>
              <w:pStyle w:val="Pa1"/>
              <w:jc w:val="both"/>
              <w:rPr>
                <w:rStyle w:val="A0"/>
                <w:rFonts w:ascii="Arial" w:hAnsi="Arial" w:cs="Arial"/>
                <w:sz w:val="20"/>
                <w:szCs w:val="20"/>
              </w:rPr>
            </w:pPr>
            <w:r w:rsidRPr="000B1522">
              <w:rPr>
                <w:rStyle w:val="A0"/>
                <w:rFonts w:ascii="Arial" w:hAnsi="Arial" w:cs="Arial"/>
                <w:b/>
                <w:bCs/>
                <w:sz w:val="20"/>
                <w:szCs w:val="20"/>
              </w:rPr>
              <w:t>Pay Item</w:t>
            </w:r>
          </w:p>
        </w:tc>
        <w:tc>
          <w:tcPr>
            <w:tcW w:w="1530" w:type="dxa"/>
          </w:tcPr>
          <w:p w14:paraId="1846667C" w14:textId="77777777" w:rsidR="00DB7AF9" w:rsidRDefault="00DB7AF9" w:rsidP="007D62DA">
            <w:pPr>
              <w:pStyle w:val="Pa1"/>
              <w:jc w:val="both"/>
              <w:rPr>
                <w:rStyle w:val="A0"/>
                <w:rFonts w:ascii="Arial" w:hAnsi="Arial" w:cs="Arial"/>
                <w:sz w:val="20"/>
                <w:szCs w:val="20"/>
              </w:rPr>
            </w:pPr>
            <w:r w:rsidRPr="000B1522">
              <w:rPr>
                <w:rStyle w:val="A0"/>
                <w:rFonts w:ascii="Arial" w:hAnsi="Arial" w:cs="Arial"/>
                <w:b/>
                <w:bCs/>
                <w:sz w:val="20"/>
                <w:szCs w:val="20"/>
              </w:rPr>
              <w:t>Pay Unit</w:t>
            </w:r>
          </w:p>
        </w:tc>
      </w:tr>
      <w:tr w:rsidR="00DB7AF9" w14:paraId="4BC18C12" w14:textId="77777777" w:rsidTr="007D62DA">
        <w:tc>
          <w:tcPr>
            <w:tcW w:w="3600" w:type="dxa"/>
          </w:tcPr>
          <w:p w14:paraId="3F6885D5" w14:textId="77777777" w:rsidR="00DB7AF9" w:rsidRDefault="00DB7AF9" w:rsidP="007D62DA">
            <w:pPr>
              <w:pStyle w:val="Pa1"/>
              <w:jc w:val="both"/>
              <w:rPr>
                <w:rStyle w:val="A0"/>
                <w:rFonts w:ascii="Arial" w:hAnsi="Arial" w:cs="Arial"/>
                <w:sz w:val="20"/>
                <w:szCs w:val="20"/>
              </w:rPr>
            </w:pPr>
            <w:r w:rsidRPr="000B1522">
              <w:rPr>
                <w:rStyle w:val="A0"/>
                <w:rFonts w:ascii="Arial" w:hAnsi="Arial" w:cs="Arial"/>
                <w:sz w:val="20"/>
                <w:szCs w:val="20"/>
              </w:rPr>
              <w:t>Stone matrix asphalt, (Type) (Class)</w:t>
            </w:r>
          </w:p>
        </w:tc>
        <w:tc>
          <w:tcPr>
            <w:tcW w:w="1530" w:type="dxa"/>
          </w:tcPr>
          <w:p w14:paraId="27E30848" w14:textId="77777777" w:rsidR="00DB7AF9" w:rsidRDefault="00DB7AF9" w:rsidP="007D62DA">
            <w:pPr>
              <w:pStyle w:val="Pa1"/>
              <w:jc w:val="both"/>
              <w:rPr>
                <w:rStyle w:val="A0"/>
                <w:rFonts w:ascii="Arial" w:hAnsi="Arial" w:cs="Arial"/>
                <w:sz w:val="20"/>
                <w:szCs w:val="20"/>
              </w:rPr>
            </w:pPr>
            <w:r w:rsidRPr="000B1522">
              <w:rPr>
                <w:rStyle w:val="A0"/>
                <w:rFonts w:ascii="Arial" w:hAnsi="Arial" w:cs="Arial"/>
                <w:sz w:val="20"/>
                <w:szCs w:val="20"/>
              </w:rPr>
              <w:t>Ton</w:t>
            </w:r>
          </w:p>
        </w:tc>
      </w:tr>
    </w:tbl>
    <w:p w14:paraId="64CBF6A1" w14:textId="77777777" w:rsidR="006E6BD8" w:rsidRPr="00DB7AF9" w:rsidRDefault="006E6BD8" w:rsidP="00DB7AF9"/>
    <w:sectPr w:rsidR="006E6BD8" w:rsidRPr="00DB7AF9" w:rsidSect="00CE208D">
      <w:headerReference w:type="default" r:id="rId11"/>
      <w:footerReference w:type="even" r:id="rId12"/>
      <w:footerReference w:type="default" r:id="rId13"/>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F031BB" w14:textId="77777777" w:rsidR="002E2B2D" w:rsidRDefault="002E2B2D">
      <w:r>
        <w:separator/>
      </w:r>
    </w:p>
  </w:endnote>
  <w:endnote w:type="continuationSeparator" w:id="0">
    <w:p w14:paraId="63E94231" w14:textId="77777777" w:rsidR="002E2B2D" w:rsidRDefault="002E2B2D">
      <w:r>
        <w:continuationSeparator/>
      </w:r>
    </w:p>
  </w:endnote>
  <w:endnote w:type="continuationNotice" w:id="1">
    <w:p w14:paraId="59C2002B" w14:textId="77777777" w:rsidR="002E2B2D" w:rsidRDefault="002E2B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D80E5F" w14:textId="77777777" w:rsidR="00A02473" w:rsidRDefault="00A0247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4AAC16C5" w14:textId="77777777" w:rsidR="00A02473" w:rsidRDefault="00A024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842EF6" w14:textId="77777777" w:rsidR="00A02473" w:rsidRDefault="00A024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34C758" w14:textId="77777777" w:rsidR="002E2B2D" w:rsidRDefault="002E2B2D">
      <w:r>
        <w:separator/>
      </w:r>
    </w:p>
  </w:footnote>
  <w:footnote w:type="continuationSeparator" w:id="0">
    <w:p w14:paraId="1B8F3AB0" w14:textId="77777777" w:rsidR="002E2B2D" w:rsidRDefault="002E2B2D">
      <w:r>
        <w:continuationSeparator/>
      </w:r>
    </w:p>
  </w:footnote>
  <w:footnote w:type="continuationNotice" w:id="1">
    <w:p w14:paraId="6EC889C3" w14:textId="77777777" w:rsidR="002E2B2D" w:rsidRDefault="002E2B2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C12D37" w14:textId="77777777" w:rsidR="00F261B9" w:rsidRDefault="00F261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660A59"/>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 w15:restartNumberingAfterBreak="0">
    <w:nsid w:val="2ABA571B"/>
    <w:multiLevelType w:val="hybridMultilevel"/>
    <w:tmpl w:val="F828A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6FD74A9"/>
    <w:multiLevelType w:val="hybridMultilevel"/>
    <w:tmpl w:val="A8C89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CE263B5"/>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7F49"/>
    <w:rsid w:val="00031585"/>
    <w:rsid w:val="00043624"/>
    <w:rsid w:val="0005647F"/>
    <w:rsid w:val="000569CA"/>
    <w:rsid w:val="00083603"/>
    <w:rsid w:val="000B1583"/>
    <w:rsid w:val="000B744A"/>
    <w:rsid w:val="000C2BB7"/>
    <w:rsid w:val="000C2C56"/>
    <w:rsid w:val="000D6A5F"/>
    <w:rsid w:val="00103A8C"/>
    <w:rsid w:val="00133F48"/>
    <w:rsid w:val="0014471C"/>
    <w:rsid w:val="00173606"/>
    <w:rsid w:val="001747BB"/>
    <w:rsid w:val="00193E65"/>
    <w:rsid w:val="001A0DC3"/>
    <w:rsid w:val="001A5703"/>
    <w:rsid w:val="001C75AE"/>
    <w:rsid w:val="00221796"/>
    <w:rsid w:val="002676D8"/>
    <w:rsid w:val="00273B86"/>
    <w:rsid w:val="002965B2"/>
    <w:rsid w:val="002D15DE"/>
    <w:rsid w:val="002E2B2D"/>
    <w:rsid w:val="002F556A"/>
    <w:rsid w:val="003028E4"/>
    <w:rsid w:val="003029F9"/>
    <w:rsid w:val="00310897"/>
    <w:rsid w:val="003275C4"/>
    <w:rsid w:val="00356C0D"/>
    <w:rsid w:val="00394E09"/>
    <w:rsid w:val="003C3E13"/>
    <w:rsid w:val="003C54B5"/>
    <w:rsid w:val="003C5F64"/>
    <w:rsid w:val="003D163B"/>
    <w:rsid w:val="004121AD"/>
    <w:rsid w:val="00412EC8"/>
    <w:rsid w:val="004201C4"/>
    <w:rsid w:val="00425AD1"/>
    <w:rsid w:val="00431F1A"/>
    <w:rsid w:val="00440F9A"/>
    <w:rsid w:val="004536C0"/>
    <w:rsid w:val="00455653"/>
    <w:rsid w:val="004749D1"/>
    <w:rsid w:val="004A171B"/>
    <w:rsid w:val="004B631C"/>
    <w:rsid w:val="00503F15"/>
    <w:rsid w:val="005159F3"/>
    <w:rsid w:val="005168D9"/>
    <w:rsid w:val="00517467"/>
    <w:rsid w:val="00540302"/>
    <w:rsid w:val="005E0BA8"/>
    <w:rsid w:val="005E1505"/>
    <w:rsid w:val="005E53AF"/>
    <w:rsid w:val="006045F6"/>
    <w:rsid w:val="0061062F"/>
    <w:rsid w:val="00621AF4"/>
    <w:rsid w:val="0062232A"/>
    <w:rsid w:val="00644A34"/>
    <w:rsid w:val="0066396E"/>
    <w:rsid w:val="00690EBB"/>
    <w:rsid w:val="006A06BB"/>
    <w:rsid w:val="006B4597"/>
    <w:rsid w:val="006C08FA"/>
    <w:rsid w:val="006C53BB"/>
    <w:rsid w:val="006C6959"/>
    <w:rsid w:val="006E6BD8"/>
    <w:rsid w:val="006F4A03"/>
    <w:rsid w:val="00735B59"/>
    <w:rsid w:val="00741CB4"/>
    <w:rsid w:val="0074398E"/>
    <w:rsid w:val="007768DC"/>
    <w:rsid w:val="00780E67"/>
    <w:rsid w:val="00785619"/>
    <w:rsid w:val="007B0F11"/>
    <w:rsid w:val="007B3A34"/>
    <w:rsid w:val="007E685E"/>
    <w:rsid w:val="007F1ADC"/>
    <w:rsid w:val="007F7DDB"/>
    <w:rsid w:val="00810969"/>
    <w:rsid w:val="00815CA3"/>
    <w:rsid w:val="00823095"/>
    <w:rsid w:val="00833902"/>
    <w:rsid w:val="008524B7"/>
    <w:rsid w:val="00856D0A"/>
    <w:rsid w:val="0087373B"/>
    <w:rsid w:val="00884851"/>
    <w:rsid w:val="0089201C"/>
    <w:rsid w:val="0089475A"/>
    <w:rsid w:val="008C710F"/>
    <w:rsid w:val="008E2063"/>
    <w:rsid w:val="008E52B8"/>
    <w:rsid w:val="008F7085"/>
    <w:rsid w:val="00905743"/>
    <w:rsid w:val="00911B48"/>
    <w:rsid w:val="00912E74"/>
    <w:rsid w:val="009268D2"/>
    <w:rsid w:val="009362FF"/>
    <w:rsid w:val="00945082"/>
    <w:rsid w:val="0095452F"/>
    <w:rsid w:val="00981DD7"/>
    <w:rsid w:val="009A79BC"/>
    <w:rsid w:val="009D0E74"/>
    <w:rsid w:val="009D7F49"/>
    <w:rsid w:val="009F392B"/>
    <w:rsid w:val="00A02473"/>
    <w:rsid w:val="00A02660"/>
    <w:rsid w:val="00A1302A"/>
    <w:rsid w:val="00A50D4E"/>
    <w:rsid w:val="00A61AA3"/>
    <w:rsid w:val="00A63EB3"/>
    <w:rsid w:val="00A67425"/>
    <w:rsid w:val="00A937F4"/>
    <w:rsid w:val="00A93BDB"/>
    <w:rsid w:val="00AA4568"/>
    <w:rsid w:val="00AB4897"/>
    <w:rsid w:val="00AB63FD"/>
    <w:rsid w:val="00AD1989"/>
    <w:rsid w:val="00AD2033"/>
    <w:rsid w:val="00B16F03"/>
    <w:rsid w:val="00B525D5"/>
    <w:rsid w:val="00B6180A"/>
    <w:rsid w:val="00B704DA"/>
    <w:rsid w:val="00BA34E3"/>
    <w:rsid w:val="00BF0974"/>
    <w:rsid w:val="00C11E49"/>
    <w:rsid w:val="00C2270E"/>
    <w:rsid w:val="00C24A64"/>
    <w:rsid w:val="00C3455F"/>
    <w:rsid w:val="00C46BE4"/>
    <w:rsid w:val="00C519E4"/>
    <w:rsid w:val="00C710F6"/>
    <w:rsid w:val="00C8500D"/>
    <w:rsid w:val="00C967AF"/>
    <w:rsid w:val="00CA78EE"/>
    <w:rsid w:val="00CB273E"/>
    <w:rsid w:val="00CC5095"/>
    <w:rsid w:val="00CD3764"/>
    <w:rsid w:val="00CE208D"/>
    <w:rsid w:val="00D1419C"/>
    <w:rsid w:val="00D23769"/>
    <w:rsid w:val="00D2400F"/>
    <w:rsid w:val="00D2797E"/>
    <w:rsid w:val="00D32710"/>
    <w:rsid w:val="00D4772D"/>
    <w:rsid w:val="00D67040"/>
    <w:rsid w:val="00D86A96"/>
    <w:rsid w:val="00DB7AF9"/>
    <w:rsid w:val="00DC2BE2"/>
    <w:rsid w:val="00DD45F2"/>
    <w:rsid w:val="00E13277"/>
    <w:rsid w:val="00E30053"/>
    <w:rsid w:val="00E375E8"/>
    <w:rsid w:val="00E61867"/>
    <w:rsid w:val="00E66758"/>
    <w:rsid w:val="00E96630"/>
    <w:rsid w:val="00E97E06"/>
    <w:rsid w:val="00EE4B53"/>
    <w:rsid w:val="00EE6CC5"/>
    <w:rsid w:val="00EF227E"/>
    <w:rsid w:val="00F06AC6"/>
    <w:rsid w:val="00F07426"/>
    <w:rsid w:val="00F07698"/>
    <w:rsid w:val="00F12450"/>
    <w:rsid w:val="00F261B9"/>
    <w:rsid w:val="00F32F18"/>
    <w:rsid w:val="00F34D19"/>
    <w:rsid w:val="00F910F7"/>
    <w:rsid w:val="00FA602D"/>
    <w:rsid w:val="00FA7FF7"/>
    <w:rsid w:val="00FB10F8"/>
    <w:rsid w:val="00FC6696"/>
    <w:rsid w:val="00FE7F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F482FB"/>
  <w15:docId w15:val="{F805C468-7E49-4173-AA13-15F8E5E31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rsid w:val="00FA7FF7"/>
  </w:style>
  <w:style w:type="character" w:styleId="Hyperlink">
    <w:name w:val="Hyperlink"/>
    <w:rsid w:val="00221796"/>
    <w:rPr>
      <w:color w:val="0000FF"/>
      <w:u w:val="single"/>
    </w:rPr>
  </w:style>
  <w:style w:type="table" w:styleId="TableGrid">
    <w:name w:val="Table Grid"/>
    <w:basedOn w:val="TableNormal"/>
    <w:uiPriority w:val="59"/>
    <w:rsid w:val="0022179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412EC8"/>
    <w:rPr>
      <w:rFonts w:ascii="Tahoma" w:hAnsi="Tahoma" w:cs="Tahoma"/>
      <w:sz w:val="16"/>
      <w:szCs w:val="16"/>
    </w:rPr>
  </w:style>
  <w:style w:type="character" w:customStyle="1" w:styleId="BalloonTextChar">
    <w:name w:val="Balloon Text Char"/>
    <w:link w:val="BalloonText"/>
    <w:rsid w:val="00412EC8"/>
    <w:rPr>
      <w:rFonts w:ascii="Tahoma" w:hAnsi="Tahoma" w:cs="Tahoma"/>
      <w:sz w:val="16"/>
      <w:szCs w:val="16"/>
    </w:rPr>
  </w:style>
  <w:style w:type="character" w:styleId="CommentReference">
    <w:name w:val="annotation reference"/>
    <w:rsid w:val="00310897"/>
    <w:rPr>
      <w:sz w:val="16"/>
      <w:szCs w:val="16"/>
    </w:rPr>
  </w:style>
  <w:style w:type="paragraph" w:styleId="CommentText">
    <w:name w:val="annotation text"/>
    <w:basedOn w:val="Normal"/>
    <w:link w:val="CommentTextChar"/>
    <w:rsid w:val="00310897"/>
  </w:style>
  <w:style w:type="character" w:customStyle="1" w:styleId="CommentTextChar">
    <w:name w:val="Comment Text Char"/>
    <w:link w:val="CommentText"/>
    <w:rsid w:val="00310897"/>
    <w:rPr>
      <w:rFonts w:ascii="Arial" w:hAnsi="Arial"/>
    </w:rPr>
  </w:style>
  <w:style w:type="paragraph" w:styleId="CommentSubject">
    <w:name w:val="annotation subject"/>
    <w:basedOn w:val="CommentText"/>
    <w:next w:val="CommentText"/>
    <w:link w:val="CommentSubjectChar"/>
    <w:rsid w:val="00310897"/>
    <w:rPr>
      <w:b/>
      <w:bCs/>
    </w:rPr>
  </w:style>
  <w:style w:type="character" w:customStyle="1" w:styleId="CommentSubjectChar">
    <w:name w:val="Comment Subject Char"/>
    <w:link w:val="CommentSubject"/>
    <w:rsid w:val="00310897"/>
    <w:rPr>
      <w:rFonts w:ascii="Arial" w:hAnsi="Arial"/>
      <w:b/>
      <w:bCs/>
    </w:rPr>
  </w:style>
  <w:style w:type="paragraph" w:styleId="ListParagraph">
    <w:name w:val="List Paragraph"/>
    <w:basedOn w:val="Normal"/>
    <w:uiPriority w:val="34"/>
    <w:qFormat/>
    <w:rsid w:val="00DB7AF9"/>
    <w:pPr>
      <w:spacing w:after="200" w:line="276" w:lineRule="auto"/>
      <w:ind w:left="720"/>
      <w:contextualSpacing/>
    </w:pPr>
    <w:rPr>
      <w:rFonts w:asciiTheme="minorHAnsi" w:eastAsiaTheme="minorHAnsi" w:hAnsiTheme="minorHAnsi" w:cstheme="minorBidi"/>
      <w:sz w:val="22"/>
      <w:szCs w:val="22"/>
    </w:rPr>
  </w:style>
  <w:style w:type="paragraph" w:customStyle="1" w:styleId="Pa0">
    <w:name w:val="Pa0"/>
    <w:basedOn w:val="Normal"/>
    <w:next w:val="Normal"/>
    <w:uiPriority w:val="99"/>
    <w:rsid w:val="00DB7AF9"/>
    <w:pPr>
      <w:autoSpaceDE w:val="0"/>
      <w:autoSpaceDN w:val="0"/>
      <w:adjustRightInd w:val="0"/>
      <w:spacing w:line="241" w:lineRule="atLeast"/>
    </w:pPr>
    <w:rPr>
      <w:rFonts w:ascii="TimesNewRomanPS" w:eastAsiaTheme="minorHAnsi" w:hAnsi="TimesNewRomanPS" w:cstheme="minorBidi"/>
      <w:sz w:val="24"/>
      <w:szCs w:val="24"/>
    </w:rPr>
  </w:style>
  <w:style w:type="character" w:customStyle="1" w:styleId="A2">
    <w:name w:val="A2"/>
    <w:uiPriority w:val="99"/>
    <w:rsid w:val="00DB7AF9"/>
    <w:rPr>
      <w:rFonts w:cs="TimesNewRomanPS"/>
      <w:b/>
      <w:bCs/>
      <w:color w:val="000000"/>
      <w:sz w:val="20"/>
      <w:szCs w:val="20"/>
    </w:rPr>
  </w:style>
  <w:style w:type="paragraph" w:customStyle="1" w:styleId="Pa1">
    <w:name w:val="Pa1"/>
    <w:basedOn w:val="Normal"/>
    <w:next w:val="Normal"/>
    <w:uiPriority w:val="99"/>
    <w:rsid w:val="00DB7AF9"/>
    <w:pPr>
      <w:autoSpaceDE w:val="0"/>
      <w:autoSpaceDN w:val="0"/>
      <w:adjustRightInd w:val="0"/>
      <w:spacing w:line="241" w:lineRule="atLeast"/>
    </w:pPr>
    <w:rPr>
      <w:rFonts w:ascii="TimesNewRomanPS" w:eastAsiaTheme="minorHAnsi" w:hAnsi="TimesNewRomanPS" w:cstheme="minorBidi"/>
      <w:sz w:val="24"/>
      <w:szCs w:val="24"/>
    </w:rPr>
  </w:style>
  <w:style w:type="character" w:customStyle="1" w:styleId="A0">
    <w:name w:val="A0"/>
    <w:uiPriority w:val="99"/>
    <w:rsid w:val="00DB7AF9"/>
    <w:rPr>
      <w:rFonts w:cs="TimesNewRomanP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697965">
      <w:bodyDiv w:val="1"/>
      <w:marLeft w:val="0"/>
      <w:marRight w:val="0"/>
      <w:marTop w:val="0"/>
      <w:marBottom w:val="0"/>
      <w:divBdr>
        <w:top w:val="none" w:sz="0" w:space="0" w:color="auto"/>
        <w:left w:val="none" w:sz="0" w:space="0" w:color="auto"/>
        <w:bottom w:val="none" w:sz="0" w:space="0" w:color="auto"/>
        <w:right w:val="none" w:sz="0" w:space="0" w:color="auto"/>
      </w:divBdr>
    </w:div>
    <w:div w:id="127549801">
      <w:bodyDiv w:val="1"/>
      <w:marLeft w:val="0"/>
      <w:marRight w:val="0"/>
      <w:marTop w:val="0"/>
      <w:marBottom w:val="0"/>
      <w:divBdr>
        <w:top w:val="none" w:sz="0" w:space="0" w:color="auto"/>
        <w:left w:val="none" w:sz="0" w:space="0" w:color="auto"/>
        <w:bottom w:val="none" w:sz="0" w:space="0" w:color="auto"/>
        <w:right w:val="none" w:sz="0" w:space="0" w:color="auto"/>
      </w:divBdr>
    </w:div>
    <w:div w:id="675617569">
      <w:bodyDiv w:val="1"/>
      <w:marLeft w:val="0"/>
      <w:marRight w:val="0"/>
      <w:marTop w:val="0"/>
      <w:marBottom w:val="0"/>
      <w:divBdr>
        <w:top w:val="none" w:sz="0" w:space="0" w:color="auto"/>
        <w:left w:val="none" w:sz="0" w:space="0" w:color="auto"/>
        <w:bottom w:val="none" w:sz="0" w:space="0" w:color="auto"/>
        <w:right w:val="none" w:sz="0" w:space="0" w:color="auto"/>
      </w:divBdr>
    </w:div>
    <w:div w:id="684214138">
      <w:bodyDiv w:val="1"/>
      <w:marLeft w:val="0"/>
      <w:marRight w:val="0"/>
      <w:marTop w:val="0"/>
      <w:marBottom w:val="0"/>
      <w:divBdr>
        <w:top w:val="none" w:sz="0" w:space="0" w:color="auto"/>
        <w:left w:val="none" w:sz="0" w:space="0" w:color="auto"/>
        <w:bottom w:val="none" w:sz="0" w:space="0" w:color="auto"/>
        <w:right w:val="none" w:sz="0" w:space="0" w:color="auto"/>
      </w:divBdr>
    </w:div>
    <w:div w:id="1374961985">
      <w:bodyDiv w:val="1"/>
      <w:marLeft w:val="0"/>
      <w:marRight w:val="0"/>
      <w:marTop w:val="0"/>
      <w:marBottom w:val="0"/>
      <w:divBdr>
        <w:top w:val="none" w:sz="0" w:space="0" w:color="auto"/>
        <w:left w:val="none" w:sz="0" w:space="0" w:color="auto"/>
        <w:bottom w:val="none" w:sz="0" w:space="0" w:color="auto"/>
        <w:right w:val="none" w:sz="0" w:space="0" w:color="auto"/>
      </w:divBdr>
    </w:div>
    <w:div w:id="1557548390">
      <w:bodyDiv w:val="1"/>
      <w:marLeft w:val="0"/>
      <w:marRight w:val="0"/>
      <w:marTop w:val="0"/>
      <w:marBottom w:val="0"/>
      <w:divBdr>
        <w:top w:val="none" w:sz="0" w:space="0" w:color="auto"/>
        <w:left w:val="none" w:sz="0" w:space="0" w:color="auto"/>
        <w:bottom w:val="none" w:sz="0" w:space="0" w:color="auto"/>
        <w:right w:val="none" w:sz="0" w:space="0" w:color="auto"/>
      </w:divBdr>
    </w:div>
    <w:div w:id="1567111435">
      <w:bodyDiv w:val="1"/>
      <w:marLeft w:val="0"/>
      <w:marRight w:val="0"/>
      <w:marTop w:val="0"/>
      <w:marBottom w:val="0"/>
      <w:divBdr>
        <w:top w:val="none" w:sz="0" w:space="0" w:color="auto"/>
        <w:left w:val="none" w:sz="0" w:space="0" w:color="auto"/>
        <w:bottom w:val="none" w:sz="0" w:space="0" w:color="auto"/>
        <w:right w:val="none" w:sz="0" w:space="0" w:color="auto"/>
      </w:divBdr>
    </w:div>
    <w:div w:id="1794055243">
      <w:bodyDiv w:val="1"/>
      <w:marLeft w:val="0"/>
      <w:marRight w:val="0"/>
      <w:marTop w:val="0"/>
      <w:marBottom w:val="0"/>
      <w:divBdr>
        <w:top w:val="none" w:sz="0" w:space="0" w:color="auto"/>
        <w:left w:val="none" w:sz="0" w:space="0" w:color="auto"/>
        <w:bottom w:val="none" w:sz="0" w:space="0" w:color="auto"/>
        <w:right w:val="none" w:sz="0" w:space="0" w:color="auto"/>
      </w:divBdr>
    </w:div>
    <w:div w:id="1803383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 xsi:nil="true"/>
    <Availability_x0020_Date xmlns="2328571d-b9d5-471b-8d96-2ccb743ec3d4">2016-07-12T04:00:00+00:00</Availability_x0020_Date>
    <Document_x0020_Type xmlns="2328571d-b9d5-471b-8d96-2ccb743ec3d4">Spec Book</Document_x0020_Type>
    <Specification_x0020_Number xmlns="2328571d-b9d5-471b-8d96-2ccb743ec3d4">BK317-002020-00</Specification_x0020_Number>
    <Status xmlns="2328571d-b9d5-471b-8d96-2ccb743ec3d4">Active</Status>
    <Usage_x0020_Guidelines xmlns="2328571d-b9d5-471b-8d96-2ccb743ec3d4">SS317-002016-01 incorporated</Usage_x0020_Guidelines>
    <DB_x0020_Pick_x0020_List xmlns="2328571d-b9d5-471b-8d96-2ccb743ec3d4">false</DB_x0020_Pick_x0020_List>
    <ASW_x0020_Pick_x0020_List xmlns="2328571d-b9d5-471b-8d96-2ccb743ec3d4">false</ASW_x0020_Pick_x0020_List>
    <DBB_x0020_Pick_x0020_List xmlns="2328571d-b9d5-471b-8d96-2ccb743ec3d4">false</DBB_x0020_Pick_x0020_List>
    <Division xmlns="2328571d-b9d5-471b-8d96-2ccb743ec3d4">III</Division>
    <Section xmlns="2328571d-b9d5-471b-8d96-2ccb743ec3d4">317</Section>
    <LAP_x0020_Pick_x0020_List xmlns="2328571d-b9d5-471b-8d96-2ccb743ec3d4">false</LAP_x0020_Pick_x0020_List>
    <Revision_x0020_Date xmlns="2328571d-b9d5-471b-8d96-2ccb743ec3d4" xsi:nil="true"/>
    <ASW_x0020_Guidelines xmlns="2328571d-b9d5-471b-8d96-2ccb743ec3d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0E54F8-A267-49D3-A16C-F5FFDD9D4A56}"/>
</file>

<file path=customXml/itemProps2.xml><?xml version="1.0" encoding="utf-8"?>
<ds:datastoreItem xmlns:ds="http://schemas.openxmlformats.org/officeDocument/2006/customXml" ds:itemID="{1AE1576D-8BDE-4FAF-9159-17C77552505C}"/>
</file>

<file path=customXml/itemProps3.xml><?xml version="1.0" encoding="utf-8"?>
<ds:datastoreItem xmlns:ds="http://schemas.openxmlformats.org/officeDocument/2006/customXml" ds:itemID="{B045E177-DC1B-4ADF-8223-00079093640D}"/>
</file>

<file path=customXml/itemProps4.xml><?xml version="1.0" encoding="utf-8"?>
<ds:datastoreItem xmlns:ds="http://schemas.openxmlformats.org/officeDocument/2006/customXml" ds:itemID="{70DE2AB3-04E7-4D75-9512-0C8086AA4D8B}"/>
</file>

<file path=docProps/app.xml><?xml version="1.0" encoding="utf-8"?>
<Properties xmlns="http://schemas.openxmlformats.org/officeDocument/2006/extended-properties" xmlns:vt="http://schemas.openxmlformats.org/officeDocument/2006/docPropsVTypes">
  <Template>Normal</Template>
  <TotalTime>0</TotalTime>
  <Pages>4</Pages>
  <Words>1553</Words>
  <Characters>8053</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Stone Matrix Asphalt Concrete Placement</vt:lpstr>
    </vt:vector>
  </TitlesOfParts>
  <Company>VDOT</Company>
  <LinksUpToDate>false</LinksUpToDate>
  <CharactersWithSpaces>9587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Stone Matrix Asphalt Concrete Placement</dc:title>
  <dc:creator>vdot</dc:creator>
  <cp:lastModifiedBy>Changes</cp:lastModifiedBy>
  <cp:revision>3</cp:revision>
  <dcterms:created xsi:type="dcterms:W3CDTF">2020-01-02T18:21:00Z</dcterms:created>
  <dcterms:modified xsi:type="dcterms:W3CDTF">2020-01-02T18:21:00Z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SPEC100</vt:lpwstr>
  </property>
  <property fmtid="{D5CDD505-2E9C-101B-9397-08002B2CF9AE}" pid="3" name="_dlc_DocId">
    <vt:lpwstr>/insidevdot/div/sc/Design/Specs/Book|3e856bab-ec34-42ca-9f13-7cf50b0c6957</vt:lpwstr>
  </property>
  <property fmtid="{D5CDD505-2E9C-101B-9397-08002B2CF9AE}" pid="4" name="_dlc_DocIdItemGuid">
    <vt:lpwstr>3e856bab-ec34-42ca-9f13-7cf50b0c6957</vt:lpwstr>
  </property>
  <property fmtid="{D5CDD505-2E9C-101B-9397-08002B2CF9AE}" pid="5" name="_dlc_DocIdUrl">
    <vt:lpwstr>https://insidevdot.cov.virginia.gov/div/sc/Design/Specs/Book/_layouts/DocIdRedir.aspx?ID=%2finsidevdot%2fdiv%2fsc%2fDesign%2fSpecs%2fBook%7c3e856bab-ec34-42ca-9f13-7cf50b0c6957, /insidevdot/div/sc/Design/Specs/Book|3e856bab-ec34-42ca-9f13-7cf50b0c6957</vt:lpwstr>
  </property>
  <property fmtid="{D5CDD505-2E9C-101B-9397-08002B2CF9AE}" pid="6" name="Locked">
    <vt:lpwstr>N</vt:lpwstr>
  </property>
  <property fmtid="{D5CDD505-2E9C-101B-9397-08002B2CF9AE}" pid="7" name="Order">
    <vt:r8>7800</vt:r8>
  </property>
  <property fmtid="{D5CDD505-2E9C-101B-9397-08002B2CF9AE}" pid="8" name="Sources">
    <vt:lpwstr>https://insidevdot.cov.virginia.gov/div/sc/Design/Specs/Book/2014SBS/Forms/2014SBSD.aspx/100?RootFolder=/div%2Fsc%2FDesign%2FSpecs%2FBook%2F2014SBS%2F100&amp;View={31A41434-813F-44DE-AF21-B6DA4197C93E}, 100</vt:lpwstr>
  </property>
  <property fmtid="{D5CDD505-2E9C-101B-9397-08002B2CF9AE}" pid="9" name="AROTCE">
    <vt:lpwstr/>
  </property>
  <property fmtid="{D5CDD505-2E9C-101B-9397-08002B2CF9AE}" pid="10" name="SME(s)">
    <vt:lpwstr/>
  </property>
  <property fmtid="{D5CDD505-2E9C-101B-9397-08002B2CF9AE}" pid="11" name="ContentTypeId">
    <vt:lpwstr>0x010100771DA6D9234A1F4BB626256BCE9A5673</vt:lpwstr>
  </property>
  <property fmtid="{D5CDD505-2E9C-101B-9397-08002B2CF9AE}" pid="12" name="xd_Signature">
    <vt:bool>false</vt:bool>
  </property>
  <property fmtid="{D5CDD505-2E9C-101B-9397-08002B2CF9AE}" pid="13" name="xd_ProgID">
    <vt:lpwstr/>
  </property>
  <property fmtid="{D5CDD505-2E9C-101B-9397-08002B2CF9AE}" pid="14" name="TemplateUrl">
    <vt:lpwstr/>
  </property>
  <property fmtid="{D5CDD505-2E9C-101B-9397-08002B2CF9AE}" pid="15" name="Specification Number">
    <vt:lpwstr>BK317-002016-00</vt:lpwstr>
  </property>
  <property fmtid="{D5CDD505-2E9C-101B-9397-08002B2CF9AE}" pid="16" name="Availability Date">
    <vt:filetime>2016-07-01T04:00:00Z</vt:filetime>
  </property>
  <property fmtid="{D5CDD505-2E9C-101B-9397-08002B2CF9AE}" pid="17" name="Sect">
    <vt:lpwstr>317</vt:lpwstr>
  </property>
  <property fmtid="{D5CDD505-2E9C-101B-9397-08002B2CF9AE}" pid="18" name="Document Type">
    <vt:lpwstr>Spec Book</vt:lpwstr>
  </property>
  <property fmtid="{D5CDD505-2E9C-101B-9397-08002B2CF9AE}" pid="19" name="Status">
    <vt:lpwstr>Active</vt:lpwstr>
  </property>
  <property fmtid="{D5CDD505-2E9C-101B-9397-08002B2CF9AE}" pid="20" name="Contains Fields">
    <vt:lpwstr>No</vt:lpwstr>
  </property>
  <property fmtid="{D5CDD505-2E9C-101B-9397-08002B2CF9AE}" pid="21" name="Div">
    <vt:lpwstr>III</vt:lpwstr>
  </property>
  <property fmtid="{D5CDD505-2E9C-101B-9397-08002B2CF9AE}" pid="22" name="WORD Direct">
    <vt:lpwstr>, </vt:lpwstr>
  </property>
  <property fmtid="{D5CDD505-2E9C-101B-9397-08002B2CF9AE}" pid="23" name="PDMS-Specs (1st Loc)">
    <vt:lpwstr>, </vt:lpwstr>
  </property>
  <property fmtid="{D5CDD505-2E9C-101B-9397-08002B2CF9AE}" pid="24" name="PDMS">
    <vt:lpwstr>, </vt:lpwstr>
  </property>
  <property fmtid="{D5CDD505-2E9C-101B-9397-08002B2CF9AE}" pid="25" name="CNSP Database">
    <vt:lpwstr>, </vt:lpwstr>
  </property>
  <property fmtid="{D5CDD505-2E9C-101B-9397-08002B2CF9AE}" pid="26" name="Spec Groups">
    <vt:lpwstr>, </vt:lpwstr>
  </property>
  <property fmtid="{D5CDD505-2E9C-101B-9397-08002B2CF9AE}" pid="27" name="Web Page No.">
    <vt:lpwstr>, </vt:lpwstr>
  </property>
  <property fmtid="{D5CDD505-2E9C-101B-9397-08002B2CF9AE}" pid="28" name="On Check-List">
    <vt:bool>false</vt:bool>
  </property>
  <property fmtid="{D5CDD505-2E9C-101B-9397-08002B2CF9AE}" pid="29" name="Pick List">
    <vt:bool>true</vt:bool>
  </property>
  <property fmtid="{D5CDD505-2E9C-101B-9397-08002B2CF9AE}" pid="30" name="Spec No. (Pick List)">
    <vt:lpwstr>, </vt:lpwstr>
  </property>
</Properties>
</file>