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EF91A" w14:textId="6C2D67CF" w:rsidR="00AC2201" w:rsidRPr="00AC2201" w:rsidRDefault="00AC2201" w:rsidP="00AC2201">
      <w:pPr>
        <w:autoSpaceDE w:val="0"/>
        <w:autoSpaceDN w:val="0"/>
        <w:adjustRightInd w:val="0"/>
        <w:jc w:val="center"/>
        <w:outlineLvl w:val="0"/>
        <w:rPr>
          <w:rFonts w:cs="Arial"/>
          <w:b/>
          <w:bCs/>
        </w:rPr>
      </w:pPr>
      <w:r>
        <w:rPr>
          <w:rFonts w:cs="Arial"/>
          <w:b/>
          <w:bCs/>
        </w:rPr>
        <w:t xml:space="preserve">SECTION 415 – </w:t>
      </w:r>
      <w:r w:rsidRPr="00AC2201">
        <w:rPr>
          <w:rFonts w:cs="Arial"/>
          <w:b/>
          <w:bCs/>
        </w:rPr>
        <w:t>CONCRETE SLOPE PROTECTION</w:t>
      </w:r>
    </w:p>
    <w:p w14:paraId="07F6FF8A" w14:textId="60D205BC" w:rsidR="00AC2201" w:rsidRPr="00AC2201" w:rsidRDefault="00AC2201" w:rsidP="00E426F5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415.01 – </w:t>
      </w:r>
      <w:r w:rsidRPr="00AC2201">
        <w:rPr>
          <w:rFonts w:cs="Arial"/>
          <w:b/>
          <w:bCs/>
        </w:rPr>
        <w:t>Description</w:t>
      </w:r>
    </w:p>
    <w:p w14:paraId="12E1F66E" w14:textId="1D680CFE" w:rsidR="00AC2201" w:rsidRPr="00AC2201" w:rsidRDefault="00AC2201" w:rsidP="00E426F5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AC2201">
        <w:rPr>
          <w:rFonts w:eastAsia="TimesNewRomanPS" w:cs="Arial"/>
        </w:rPr>
        <w:t>This work shall consist of furnishing and installing precast concrete bl</w:t>
      </w:r>
      <w:r>
        <w:rPr>
          <w:rFonts w:eastAsia="TimesNewRomanPS" w:cs="Arial"/>
        </w:rPr>
        <w:t xml:space="preserve">ocks in a bed of coarse sand or </w:t>
      </w:r>
      <w:r w:rsidRPr="00AC2201">
        <w:rPr>
          <w:rFonts w:eastAsia="TimesNewRomanPS" w:cs="Arial"/>
        </w:rPr>
        <w:t>installing a concrete slab on embankments at or near bridge abutments as shown on the plans or as specified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by the Engineer.</w:t>
      </w:r>
    </w:p>
    <w:p w14:paraId="05E64C7A" w14:textId="77777777" w:rsidR="00AC2201" w:rsidRDefault="00AC2201" w:rsidP="00E426F5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415.02 – </w:t>
      </w:r>
      <w:r w:rsidRPr="00AC2201">
        <w:rPr>
          <w:rFonts w:cs="Arial"/>
          <w:b/>
          <w:bCs/>
        </w:rPr>
        <w:t>Materials</w:t>
      </w:r>
    </w:p>
    <w:p w14:paraId="1E1FB420" w14:textId="77777777" w:rsidR="00AC2201" w:rsidRDefault="00AC2201" w:rsidP="00E426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b/>
          <w:bCs/>
        </w:rPr>
      </w:pPr>
      <w:r w:rsidRPr="00AC2201">
        <w:rPr>
          <w:rFonts w:cs="Arial"/>
          <w:b/>
          <w:bCs/>
        </w:rPr>
        <w:t xml:space="preserve">Precast concrete blocks </w:t>
      </w:r>
      <w:r w:rsidRPr="00AC2201">
        <w:rPr>
          <w:rFonts w:eastAsia="TimesNewRomanPS" w:cs="Arial"/>
        </w:rPr>
        <w:t>shall conform to Section 222.</w:t>
      </w:r>
    </w:p>
    <w:p w14:paraId="405B9760" w14:textId="77777777" w:rsidR="00AC2201" w:rsidRDefault="00AC2201" w:rsidP="00E426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b/>
          <w:bCs/>
        </w:rPr>
      </w:pPr>
      <w:r w:rsidRPr="00AC2201">
        <w:rPr>
          <w:rFonts w:cs="Arial"/>
          <w:b/>
          <w:bCs/>
        </w:rPr>
        <w:t xml:space="preserve">Mortar </w:t>
      </w:r>
      <w:r w:rsidRPr="00AC2201">
        <w:rPr>
          <w:rFonts w:eastAsia="TimesNewRomanPS" w:cs="Arial"/>
        </w:rPr>
        <w:t xml:space="preserve">shall be </w:t>
      </w:r>
      <w:proofErr w:type="spellStart"/>
      <w:r w:rsidRPr="00AC2201">
        <w:rPr>
          <w:rFonts w:eastAsia="TimesNewRomanPS" w:cs="Arial"/>
        </w:rPr>
        <w:t>nonshrinking</w:t>
      </w:r>
      <w:proofErr w:type="spellEnd"/>
      <w:r w:rsidRPr="00AC2201">
        <w:rPr>
          <w:rFonts w:eastAsia="TimesNewRomanPS" w:cs="Arial"/>
        </w:rPr>
        <w:t xml:space="preserve"> and shall confo</w:t>
      </w:r>
      <w:bookmarkStart w:id="0" w:name="_GoBack"/>
      <w:bookmarkEnd w:id="0"/>
      <w:r w:rsidRPr="00AC2201">
        <w:rPr>
          <w:rFonts w:eastAsia="TimesNewRomanPS" w:cs="Arial"/>
        </w:rPr>
        <w:t>rm to Section 218 as applicable.</w:t>
      </w:r>
    </w:p>
    <w:p w14:paraId="29BA22F1" w14:textId="77777777" w:rsidR="00AC2201" w:rsidRDefault="00AC2201" w:rsidP="00E426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b/>
          <w:bCs/>
        </w:rPr>
      </w:pPr>
      <w:r w:rsidRPr="00AC2201">
        <w:rPr>
          <w:rFonts w:cs="Arial"/>
          <w:b/>
          <w:bCs/>
        </w:rPr>
        <w:t xml:space="preserve">Foundation course </w:t>
      </w:r>
      <w:r w:rsidRPr="00AC2201">
        <w:rPr>
          <w:rFonts w:eastAsia="TimesNewRomanPS" w:cs="Arial"/>
        </w:rPr>
        <w:t>shall be Grading B sand conforming to Section 202 or approved local</w:t>
      </w:r>
      <w:r>
        <w:rPr>
          <w:rFonts w:cs="Arial"/>
          <w:b/>
          <w:bCs/>
        </w:rPr>
        <w:t xml:space="preserve"> </w:t>
      </w:r>
      <w:r w:rsidRPr="00AC2201">
        <w:rPr>
          <w:rFonts w:eastAsia="TimesNewRomanPS" w:cs="Arial"/>
        </w:rPr>
        <w:t>material similar in nature as approved by the Engineer.</w:t>
      </w:r>
    </w:p>
    <w:p w14:paraId="43EFADD9" w14:textId="77777777" w:rsidR="00AC2201" w:rsidRDefault="00AC2201" w:rsidP="00E426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b/>
          <w:bCs/>
        </w:rPr>
      </w:pPr>
      <w:r w:rsidRPr="00AC2201">
        <w:rPr>
          <w:rFonts w:cs="Arial"/>
          <w:b/>
          <w:bCs/>
        </w:rPr>
        <w:t xml:space="preserve">Concrete </w:t>
      </w:r>
      <w:r w:rsidRPr="00AC2201">
        <w:rPr>
          <w:rFonts w:eastAsia="TimesNewRomanPS" w:cs="Arial"/>
        </w:rPr>
        <w:t>shall be Class A3 conforming Section 217.</w:t>
      </w:r>
    </w:p>
    <w:p w14:paraId="679EA3F4" w14:textId="77777777" w:rsidR="00AC2201" w:rsidRDefault="00AC2201" w:rsidP="00E426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b/>
          <w:bCs/>
        </w:rPr>
      </w:pPr>
      <w:r w:rsidRPr="00AC2201">
        <w:rPr>
          <w:rFonts w:cs="Arial"/>
          <w:b/>
          <w:bCs/>
        </w:rPr>
        <w:t xml:space="preserve">Welded wire fabric </w:t>
      </w:r>
      <w:r w:rsidRPr="00AC2201">
        <w:rPr>
          <w:rFonts w:eastAsia="TimesNewRomanPS" w:cs="Arial"/>
        </w:rPr>
        <w:t>shall be No. 6 gage, 6 inches center to center each way, conforming to</w:t>
      </w:r>
      <w:r>
        <w:rPr>
          <w:rFonts w:cs="Arial"/>
          <w:b/>
          <w:bCs/>
        </w:rPr>
        <w:t xml:space="preserve"> </w:t>
      </w:r>
      <w:r w:rsidRPr="00AC2201">
        <w:rPr>
          <w:rFonts w:eastAsia="TimesNewRomanPS" w:cs="Arial"/>
        </w:rPr>
        <w:t>Section 223.</w:t>
      </w:r>
    </w:p>
    <w:p w14:paraId="1277543F" w14:textId="4C04B449" w:rsidR="00AC2201" w:rsidRPr="00AC2201" w:rsidRDefault="00AC2201" w:rsidP="00E426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b/>
          <w:bCs/>
        </w:rPr>
      </w:pPr>
      <w:r w:rsidRPr="00AC2201">
        <w:rPr>
          <w:rFonts w:cs="Arial"/>
          <w:b/>
          <w:bCs/>
        </w:rPr>
        <w:t xml:space="preserve">Herbicide </w:t>
      </w:r>
      <w:r w:rsidRPr="00AC2201">
        <w:rPr>
          <w:rFonts w:eastAsia="TimesNewRomanPS" w:cs="Arial"/>
        </w:rPr>
        <w:t>shall conform to Section 244.</w:t>
      </w:r>
    </w:p>
    <w:p w14:paraId="06E7A465" w14:textId="66F50DED" w:rsidR="00AC2201" w:rsidRPr="00AC2201" w:rsidRDefault="00AC2201" w:rsidP="00E426F5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415.03 – </w:t>
      </w:r>
      <w:r w:rsidRPr="00AC2201">
        <w:rPr>
          <w:rFonts w:cs="Arial"/>
          <w:b/>
          <w:bCs/>
        </w:rPr>
        <w:t>Procedures</w:t>
      </w:r>
    </w:p>
    <w:p w14:paraId="54CBFA41" w14:textId="77777777" w:rsidR="00AC2201" w:rsidRDefault="00AC2201" w:rsidP="00E426F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AC2201">
        <w:rPr>
          <w:rFonts w:cs="Arial"/>
          <w:b/>
          <w:bCs/>
        </w:rPr>
        <w:t xml:space="preserve">Precast Concrete Block Slope Protection: </w:t>
      </w:r>
      <w:r w:rsidRPr="00AC2201">
        <w:rPr>
          <w:rFonts w:eastAsia="TimesNewRomanPS" w:cs="Arial"/>
        </w:rPr>
        <w:t>The Contractor shall construct the subgrade at the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required distance below the finished surface of the slope. Soft yielding sections and unsuitable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material shall be removed and replaced with useable subgrade material. The subgrade shall be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compacted and shaped to a smooth, uniform surface.</w:t>
      </w:r>
    </w:p>
    <w:p w14:paraId="2B2E5690" w14:textId="77777777" w:rsidR="00AC2201" w:rsidRDefault="00AC2201" w:rsidP="00E426F5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AC2201">
        <w:rPr>
          <w:rFonts w:eastAsia="TimesNewRomanPS" w:cs="Arial"/>
        </w:rPr>
        <w:t>The foundation course shall be spread on the subgrade to a depth of 2 inches and treated with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 xml:space="preserve">a Department approved highly insoluble soil </w:t>
      </w:r>
      <w:proofErr w:type="spellStart"/>
      <w:r w:rsidRPr="00AC2201">
        <w:rPr>
          <w:rFonts w:eastAsia="TimesNewRomanPS" w:cs="Arial"/>
        </w:rPr>
        <w:t>sterilent</w:t>
      </w:r>
      <w:proofErr w:type="spellEnd"/>
      <w:r w:rsidRPr="00AC2201">
        <w:rPr>
          <w:rFonts w:eastAsia="TimesNewRomanPS" w:cs="Arial"/>
        </w:rPr>
        <w:t xml:space="preserve"> herbicide. Material shall be in a dry form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and have a maximum solubility rate of 250 parts per million. Material shall be uniformly applied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at the maximum rate recommended by the manufacturer.</w:t>
      </w:r>
    </w:p>
    <w:p w14:paraId="09D2B32C" w14:textId="77777777" w:rsidR="00AC2201" w:rsidRDefault="00AC2201" w:rsidP="00E426F5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AC2201">
        <w:rPr>
          <w:rFonts w:eastAsia="TimesNewRomanPS" w:cs="Arial"/>
        </w:rPr>
        <w:t>The Contractor shall bed the blocks in the foundation course perpendicular to the finished surface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in straight rows, with the longest dimension aligned horizontally. Blocks shall be placed with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continuous joints extending horizontally on the face of the slope and with broken (staggered)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joints extending perpendicular thereto, up or down the slope. Blocks shall be rammed until firmly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seated and the surface conforms to the finished slope. Joints shall be filled with mortar.</w:t>
      </w:r>
    </w:p>
    <w:p w14:paraId="0A6FD076" w14:textId="77777777" w:rsidR="00AC2201" w:rsidRDefault="00AC2201" w:rsidP="00E426F5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AC2201">
        <w:rPr>
          <w:rFonts w:eastAsia="TimesNewRomanPS" w:cs="Arial"/>
        </w:rPr>
        <w:t>Cast-in-place edging for block slope protection shall be placed as specified in (b) herein.</w:t>
      </w:r>
    </w:p>
    <w:p w14:paraId="3E77EC17" w14:textId="77777777" w:rsidR="00AC2201" w:rsidRDefault="00AC2201" w:rsidP="00E426F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AC2201">
        <w:rPr>
          <w:rFonts w:cs="Arial"/>
          <w:b/>
          <w:bCs/>
        </w:rPr>
        <w:t xml:space="preserve">Concrete Slab Slope Protection: </w:t>
      </w:r>
      <w:r w:rsidRPr="00AC2201">
        <w:rPr>
          <w:rFonts w:eastAsia="TimesNewRomanPS" w:cs="Arial"/>
        </w:rPr>
        <w:t>The subgrade shall be prepared as for block slope protection.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The cast-in-place concrete slab shall be 4 inches in thickness and shall be placed in accordance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with Section 414.03(i).</w:t>
      </w:r>
    </w:p>
    <w:p w14:paraId="46E2BA39" w14:textId="77777777" w:rsidR="00AC2201" w:rsidRDefault="00AC2201" w:rsidP="00E426F5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AC2201">
        <w:rPr>
          <w:rFonts w:eastAsia="TimesNewRomanPS" w:cs="Arial"/>
        </w:rPr>
        <w:t>Except at railroad grade separations, the Contractor may provide a combination concrete slab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and stone slope protection in lieu of the specified concrete slab slope protection. Protection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shall be in accordance with the following:</w:t>
      </w:r>
    </w:p>
    <w:p w14:paraId="6B701B27" w14:textId="77777777" w:rsidR="00AC2201" w:rsidRDefault="00AC2201" w:rsidP="00E426F5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AC2201">
        <w:rPr>
          <w:rFonts w:eastAsia="TimesNewRomanPS" w:cs="Arial"/>
        </w:rPr>
        <w:t>Concrete portions, consisting of a paved ditch and a strip of concrete approximately 3 feet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in width placed on the berm along the face of the abutment, shall be furnished as required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 xml:space="preserve">for concrete slab </w:t>
      </w:r>
      <w:r w:rsidRPr="00AC2201">
        <w:rPr>
          <w:rFonts w:eastAsia="TimesNewRomanPS" w:cs="Arial"/>
        </w:rPr>
        <w:lastRenderedPageBreak/>
        <w:t>slope protection. Stone shall be placed at a depth of 7 to 9 inches over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the remaining area to be covered with slope protection.</w:t>
      </w:r>
    </w:p>
    <w:p w14:paraId="4C66E0AC" w14:textId="77777777" w:rsidR="00AC2201" w:rsidRDefault="00AC2201" w:rsidP="00E426F5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AC2201">
        <w:rPr>
          <w:rFonts w:eastAsia="TimesNewRomanPS" w:cs="Arial"/>
        </w:rPr>
        <w:t>The Contractor shall prepare the subgrade for concrete and stone in accordance with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Section 414.03(i). The portion of the slope to be protected with stone shall be treated with</w:t>
      </w:r>
      <w:r>
        <w:rPr>
          <w:rFonts w:eastAsia="TimesNewRomanPS" w:cs="Arial"/>
        </w:rPr>
        <w:t xml:space="preserve"> </w:t>
      </w:r>
      <w:proofErr w:type="gramStart"/>
      <w:r w:rsidRPr="00AC2201">
        <w:rPr>
          <w:rFonts w:eastAsia="TimesNewRomanPS" w:cs="Arial"/>
        </w:rPr>
        <w:t>a</w:t>
      </w:r>
      <w:proofErr w:type="gramEnd"/>
      <w:r w:rsidRPr="00AC2201">
        <w:rPr>
          <w:rFonts w:eastAsia="TimesNewRomanPS" w:cs="Arial"/>
        </w:rPr>
        <w:t xml:space="preserve"> herbicide in accordance with (a) herein. Care shall be taken to confine application to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areas designated for sterilization.</w:t>
      </w:r>
    </w:p>
    <w:p w14:paraId="2BBE8229" w14:textId="77777777" w:rsidR="00AC2201" w:rsidRDefault="00AC2201" w:rsidP="00E426F5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AC2201">
        <w:rPr>
          <w:rFonts w:eastAsia="TimesNewRomanPS" w:cs="Arial"/>
        </w:rPr>
        <w:t>Stone shall be crushed gravel or stone conforming to Section 204.02 (b). Gradation of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aggregate shall not be smaller than the sizes specified in Table II-3 for aggregate size No.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1 nor larger than 8 inches in their greatest dimension. Stone shall be in a sufficient range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of sizes to create a stable (choked and locked) and reasonably uniform slope.</w:t>
      </w:r>
    </w:p>
    <w:p w14:paraId="0D25D87A" w14:textId="77777777" w:rsidR="00AC2201" w:rsidRDefault="00AC2201" w:rsidP="00E426F5">
      <w:pPr>
        <w:autoSpaceDE w:val="0"/>
        <w:autoSpaceDN w:val="0"/>
        <w:adjustRightInd w:val="0"/>
        <w:ind w:left="720"/>
        <w:jc w:val="both"/>
        <w:rPr>
          <w:rFonts w:eastAsia="TimesNewRomanPS" w:cs="Arial"/>
        </w:rPr>
      </w:pPr>
      <w:r w:rsidRPr="00AC2201">
        <w:rPr>
          <w:rFonts w:eastAsia="TimesNewRomanPS" w:cs="Arial"/>
        </w:rPr>
        <w:t>The condition of the subgrade and method of placing stone shall be such that pieces of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stone in contact with the subgrade shall be partially embedded where practicable. Stone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immediately adjacent to concrete shall not project more than 3 inches above the concrete.</w:t>
      </w:r>
    </w:p>
    <w:p w14:paraId="39B87B13" w14:textId="51E2029D" w:rsidR="00AC2201" w:rsidRPr="00AC2201" w:rsidRDefault="00AC2201" w:rsidP="00E426F5">
      <w:pPr>
        <w:autoSpaceDE w:val="0"/>
        <w:autoSpaceDN w:val="0"/>
        <w:adjustRightInd w:val="0"/>
        <w:ind w:left="720"/>
        <w:jc w:val="both"/>
        <w:rPr>
          <w:rFonts w:eastAsia="TimesNewRomanPS" w:cs="Arial"/>
        </w:rPr>
      </w:pPr>
      <w:r w:rsidRPr="00AC2201">
        <w:rPr>
          <w:rFonts w:eastAsia="TimesNewRomanPS" w:cs="Arial"/>
        </w:rPr>
        <w:t>Engineer approved splash blocks connecting with the paved ditch shall be provided under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downspouts draining onto the slope protection.</w:t>
      </w:r>
    </w:p>
    <w:p w14:paraId="7556627D" w14:textId="53741A0B" w:rsidR="00AC2201" w:rsidRPr="00AC2201" w:rsidRDefault="00AC2201" w:rsidP="00E426F5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415.04 – </w:t>
      </w:r>
      <w:r w:rsidRPr="00AC2201">
        <w:rPr>
          <w:rFonts w:cs="Arial"/>
          <w:b/>
          <w:bCs/>
        </w:rPr>
        <w:t>Measurement and Payment</w:t>
      </w:r>
    </w:p>
    <w:p w14:paraId="38105DD5" w14:textId="77777777" w:rsidR="00AC2201" w:rsidRDefault="00AC2201" w:rsidP="00E426F5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AC2201">
        <w:rPr>
          <w:rFonts w:cs="Arial"/>
          <w:b/>
          <w:bCs/>
        </w:rPr>
        <w:t xml:space="preserve">Concrete slope protection </w:t>
      </w:r>
      <w:r w:rsidRPr="00AC2201">
        <w:rPr>
          <w:rFonts w:eastAsia="TimesNewRomanPS" w:cs="Arial"/>
        </w:rPr>
        <w:t>will be measured in square yards of surface a</w:t>
      </w:r>
      <w:r>
        <w:rPr>
          <w:rFonts w:eastAsia="TimesNewRomanPS" w:cs="Arial"/>
        </w:rPr>
        <w:t xml:space="preserve">rea and will be paid for at the </w:t>
      </w:r>
      <w:r w:rsidRPr="00AC2201">
        <w:rPr>
          <w:rFonts w:eastAsia="TimesNewRomanPS" w:cs="Arial"/>
        </w:rPr>
        <w:t>contract unit price per square yard. If limits are not shown on the plans, measurements will be taken from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the outside edge to outside edge, including curb, and from the edge of slope protection at abutment to the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bottom of the curtain wall or outside edge of the paved ditch as appropriate. This price shall include the</w:t>
      </w:r>
      <w:r>
        <w:rPr>
          <w:rFonts w:eastAsia="TimesNewRomanPS" w:cs="Arial"/>
        </w:rPr>
        <w:t xml:space="preserve"> </w:t>
      </w:r>
      <w:r w:rsidRPr="00AC2201">
        <w:rPr>
          <w:rFonts w:eastAsia="TimesNewRomanPS" w:cs="Arial"/>
        </w:rPr>
        <w:t>slope protection, foundation course, welded wire fabric, herbicide treatment and splash blocks.</w:t>
      </w:r>
    </w:p>
    <w:p w14:paraId="0C8866C5" w14:textId="66EC762A" w:rsidR="00AC2201" w:rsidRDefault="00AC2201" w:rsidP="00E426F5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AC2201">
        <w:rPr>
          <w:rFonts w:eastAsia="TimesNewRomanPS" w:cs="Arial"/>
        </w:rPr>
        <w:t>Payment will be made under:</w:t>
      </w:r>
    </w:p>
    <w:tbl>
      <w:tblPr>
        <w:tblStyle w:val="TableGrid"/>
        <w:tblW w:w="0" w:type="auto"/>
        <w:tblInd w:w="19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980"/>
      </w:tblGrid>
      <w:tr w:rsidR="00AC2201" w14:paraId="1CB7F4B9" w14:textId="77777777" w:rsidTr="00AC2201"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14:paraId="73C2ED8B" w14:textId="3A7EDD0E" w:rsidR="00AC2201" w:rsidRDefault="00AC2201" w:rsidP="00AC2201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AC2201">
              <w:rPr>
                <w:rFonts w:cs="Arial"/>
                <w:b/>
                <w:bCs/>
              </w:rPr>
              <w:t>Pay Item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81FF2F2" w14:textId="1E650FB8" w:rsidR="00AC2201" w:rsidRDefault="00AC2201" w:rsidP="00AC2201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AC2201">
              <w:rPr>
                <w:rFonts w:cs="Arial"/>
                <w:b/>
                <w:bCs/>
              </w:rPr>
              <w:t>Pay Unit</w:t>
            </w:r>
          </w:p>
        </w:tc>
      </w:tr>
      <w:tr w:rsidR="00AC2201" w14:paraId="562F96DE" w14:textId="77777777" w:rsidTr="00AC2201">
        <w:tc>
          <w:tcPr>
            <w:tcW w:w="4050" w:type="dxa"/>
            <w:tcBorders>
              <w:top w:val="single" w:sz="4" w:space="0" w:color="auto"/>
            </w:tcBorders>
          </w:tcPr>
          <w:p w14:paraId="583429A2" w14:textId="195A22A8" w:rsidR="00AC2201" w:rsidRDefault="00AC2201" w:rsidP="00AC2201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AC2201">
              <w:rPr>
                <w:rFonts w:eastAsia="TimesNewRomanPS" w:cs="Arial"/>
              </w:rPr>
              <w:t>Concrete block slope protection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42E102E" w14:textId="5280F4B8" w:rsidR="00AC2201" w:rsidRDefault="00AC2201" w:rsidP="00AC2201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AC2201">
              <w:rPr>
                <w:rFonts w:eastAsia="TimesNewRomanPS" w:cs="Arial"/>
              </w:rPr>
              <w:t>Square yard</w:t>
            </w:r>
          </w:p>
        </w:tc>
      </w:tr>
      <w:tr w:rsidR="00AC2201" w14:paraId="34C6F2DD" w14:textId="77777777" w:rsidTr="00AC2201">
        <w:tc>
          <w:tcPr>
            <w:tcW w:w="4050" w:type="dxa"/>
          </w:tcPr>
          <w:p w14:paraId="7ABB9A89" w14:textId="05E1B641" w:rsidR="00AC2201" w:rsidRDefault="00AC2201" w:rsidP="00AC2201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AC2201">
              <w:rPr>
                <w:rFonts w:eastAsia="TimesNewRomanPS" w:cs="Arial"/>
              </w:rPr>
              <w:t>Concrete slab slope protection (Depth)</w:t>
            </w:r>
          </w:p>
        </w:tc>
        <w:tc>
          <w:tcPr>
            <w:tcW w:w="1980" w:type="dxa"/>
          </w:tcPr>
          <w:p w14:paraId="0A247C73" w14:textId="10C8DEB6" w:rsidR="00AC2201" w:rsidRDefault="00AC2201" w:rsidP="00AC2201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AC2201">
              <w:rPr>
                <w:rFonts w:eastAsia="TimesNewRomanPS" w:cs="Arial"/>
              </w:rPr>
              <w:t>Square yard</w:t>
            </w:r>
          </w:p>
        </w:tc>
      </w:tr>
    </w:tbl>
    <w:p w14:paraId="274789CA" w14:textId="05149E66" w:rsidR="006E6BD8" w:rsidRPr="00AC2201" w:rsidRDefault="006E6BD8" w:rsidP="00AC2201">
      <w:pPr>
        <w:autoSpaceDE w:val="0"/>
        <w:autoSpaceDN w:val="0"/>
        <w:adjustRightInd w:val="0"/>
        <w:rPr>
          <w:rFonts w:cs="Arial"/>
        </w:rPr>
      </w:pPr>
    </w:p>
    <w:sectPr w:rsidR="006E6BD8" w:rsidRPr="00AC2201" w:rsidSect="00F946CA">
      <w:headerReference w:type="default" r:id="rId11"/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D1BFD5" w14:textId="77777777" w:rsidR="003C6F5E" w:rsidRDefault="003C6F5E">
      <w:r>
        <w:separator/>
      </w:r>
    </w:p>
  </w:endnote>
  <w:endnote w:type="continuationSeparator" w:id="0">
    <w:p w14:paraId="73F0248D" w14:textId="77777777" w:rsidR="003C6F5E" w:rsidRDefault="003C6F5E">
      <w:r>
        <w:continuationSeparator/>
      </w:r>
    </w:p>
  </w:endnote>
  <w:endnote w:type="continuationNotice" w:id="1">
    <w:p w14:paraId="35896858" w14:textId="77777777" w:rsidR="003C6F5E" w:rsidRDefault="003C6F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C606B" w14:textId="77777777" w:rsidR="00EC379E" w:rsidRDefault="00EC379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7ABD73D" w14:textId="77777777" w:rsidR="00EC379E" w:rsidRDefault="00EC37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D7CDC" w14:textId="77777777" w:rsidR="00353B35" w:rsidRDefault="00353B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E5AE2" w14:textId="77777777" w:rsidR="003C6F5E" w:rsidRDefault="003C6F5E">
      <w:r>
        <w:separator/>
      </w:r>
    </w:p>
  </w:footnote>
  <w:footnote w:type="continuationSeparator" w:id="0">
    <w:p w14:paraId="517B2E16" w14:textId="77777777" w:rsidR="003C6F5E" w:rsidRDefault="003C6F5E">
      <w:r>
        <w:continuationSeparator/>
      </w:r>
    </w:p>
  </w:footnote>
  <w:footnote w:type="continuationNotice" w:id="1">
    <w:p w14:paraId="14ECECC2" w14:textId="77777777" w:rsidR="003C6F5E" w:rsidRDefault="003C6F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24F44" w14:textId="77777777" w:rsidR="00353B35" w:rsidRDefault="00353B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122D5"/>
    <w:multiLevelType w:val="multilevel"/>
    <w:tmpl w:val="E42ADA1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5671EF9"/>
    <w:multiLevelType w:val="multilevel"/>
    <w:tmpl w:val="E42ADA1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49"/>
    <w:rsid w:val="000254A2"/>
    <w:rsid w:val="00043624"/>
    <w:rsid w:val="0005079E"/>
    <w:rsid w:val="0005647F"/>
    <w:rsid w:val="000832D9"/>
    <w:rsid w:val="00083603"/>
    <w:rsid w:val="000B1583"/>
    <w:rsid w:val="000B2E81"/>
    <w:rsid w:val="000C2BB7"/>
    <w:rsid w:val="000D6A5F"/>
    <w:rsid w:val="000F34CD"/>
    <w:rsid w:val="00173606"/>
    <w:rsid w:val="001747BB"/>
    <w:rsid w:val="00191BA1"/>
    <w:rsid w:val="001A0DC3"/>
    <w:rsid w:val="001A4797"/>
    <w:rsid w:val="001A5703"/>
    <w:rsid w:val="001C5240"/>
    <w:rsid w:val="001C75AE"/>
    <w:rsid w:val="001D0987"/>
    <w:rsid w:val="0024521A"/>
    <w:rsid w:val="0024583D"/>
    <w:rsid w:val="00273B86"/>
    <w:rsid w:val="00282900"/>
    <w:rsid w:val="002965B2"/>
    <w:rsid w:val="002C1448"/>
    <w:rsid w:val="003029F9"/>
    <w:rsid w:val="00323B0B"/>
    <w:rsid w:val="00353B35"/>
    <w:rsid w:val="00364E81"/>
    <w:rsid w:val="00375906"/>
    <w:rsid w:val="00393BE4"/>
    <w:rsid w:val="003C3E13"/>
    <w:rsid w:val="003C6F5E"/>
    <w:rsid w:val="003D4779"/>
    <w:rsid w:val="003F6146"/>
    <w:rsid w:val="00404EFC"/>
    <w:rsid w:val="00425AD1"/>
    <w:rsid w:val="00427E45"/>
    <w:rsid w:val="00430B79"/>
    <w:rsid w:val="00431F1A"/>
    <w:rsid w:val="00440F9A"/>
    <w:rsid w:val="00462468"/>
    <w:rsid w:val="004829C7"/>
    <w:rsid w:val="004E76F6"/>
    <w:rsid w:val="005159F3"/>
    <w:rsid w:val="0056215B"/>
    <w:rsid w:val="005B41D4"/>
    <w:rsid w:val="005E1505"/>
    <w:rsid w:val="005E53AF"/>
    <w:rsid w:val="006045F6"/>
    <w:rsid w:val="00621AF4"/>
    <w:rsid w:val="0062232A"/>
    <w:rsid w:val="00626313"/>
    <w:rsid w:val="006413E0"/>
    <w:rsid w:val="00644A34"/>
    <w:rsid w:val="0067138D"/>
    <w:rsid w:val="00673B81"/>
    <w:rsid w:val="006B4597"/>
    <w:rsid w:val="006C7864"/>
    <w:rsid w:val="006D0843"/>
    <w:rsid w:val="006E6BD8"/>
    <w:rsid w:val="00702D3F"/>
    <w:rsid w:val="0071475F"/>
    <w:rsid w:val="00737144"/>
    <w:rsid w:val="0074398E"/>
    <w:rsid w:val="00753191"/>
    <w:rsid w:val="00785619"/>
    <w:rsid w:val="007D1789"/>
    <w:rsid w:val="007D1A75"/>
    <w:rsid w:val="007D59D1"/>
    <w:rsid w:val="007E237C"/>
    <w:rsid w:val="007E685E"/>
    <w:rsid w:val="007F7DDB"/>
    <w:rsid w:val="00814ED1"/>
    <w:rsid w:val="00815CA3"/>
    <w:rsid w:val="00824C7F"/>
    <w:rsid w:val="00840274"/>
    <w:rsid w:val="008524B7"/>
    <w:rsid w:val="0086418A"/>
    <w:rsid w:val="0087410A"/>
    <w:rsid w:val="0089201C"/>
    <w:rsid w:val="0089475A"/>
    <w:rsid w:val="008C2309"/>
    <w:rsid w:val="008C710F"/>
    <w:rsid w:val="008E2063"/>
    <w:rsid w:val="008E52B8"/>
    <w:rsid w:val="00912E74"/>
    <w:rsid w:val="00926D7B"/>
    <w:rsid w:val="009362FF"/>
    <w:rsid w:val="00952C0A"/>
    <w:rsid w:val="0095452F"/>
    <w:rsid w:val="009551AF"/>
    <w:rsid w:val="00965A42"/>
    <w:rsid w:val="00981DD7"/>
    <w:rsid w:val="009A79BC"/>
    <w:rsid w:val="009B43ED"/>
    <w:rsid w:val="009C7F24"/>
    <w:rsid w:val="009D0E74"/>
    <w:rsid w:val="009D7F49"/>
    <w:rsid w:val="009E0423"/>
    <w:rsid w:val="009F392B"/>
    <w:rsid w:val="009F4134"/>
    <w:rsid w:val="009F7679"/>
    <w:rsid w:val="00A02660"/>
    <w:rsid w:val="00A21266"/>
    <w:rsid w:val="00A50D4E"/>
    <w:rsid w:val="00A54C63"/>
    <w:rsid w:val="00A61AA3"/>
    <w:rsid w:val="00A63EB3"/>
    <w:rsid w:val="00A7125D"/>
    <w:rsid w:val="00A911F0"/>
    <w:rsid w:val="00AB63FD"/>
    <w:rsid w:val="00AC2201"/>
    <w:rsid w:val="00B03AF0"/>
    <w:rsid w:val="00B0728C"/>
    <w:rsid w:val="00B07ABE"/>
    <w:rsid w:val="00B16F03"/>
    <w:rsid w:val="00B35D81"/>
    <w:rsid w:val="00B525D5"/>
    <w:rsid w:val="00B704DA"/>
    <w:rsid w:val="00B85572"/>
    <w:rsid w:val="00BA34E3"/>
    <w:rsid w:val="00BF0974"/>
    <w:rsid w:val="00C050A2"/>
    <w:rsid w:val="00C10F69"/>
    <w:rsid w:val="00C11E49"/>
    <w:rsid w:val="00C24430"/>
    <w:rsid w:val="00C24A64"/>
    <w:rsid w:val="00CB273E"/>
    <w:rsid w:val="00CC5095"/>
    <w:rsid w:val="00CC5368"/>
    <w:rsid w:val="00CD4151"/>
    <w:rsid w:val="00CD4EA8"/>
    <w:rsid w:val="00CD6B2F"/>
    <w:rsid w:val="00CE2302"/>
    <w:rsid w:val="00D23769"/>
    <w:rsid w:val="00D2400F"/>
    <w:rsid w:val="00D32710"/>
    <w:rsid w:val="00D40E5B"/>
    <w:rsid w:val="00D4772D"/>
    <w:rsid w:val="00D83FC6"/>
    <w:rsid w:val="00DD45F2"/>
    <w:rsid w:val="00DF144E"/>
    <w:rsid w:val="00E13277"/>
    <w:rsid w:val="00E33CB8"/>
    <w:rsid w:val="00E40A3D"/>
    <w:rsid w:val="00E40AEF"/>
    <w:rsid w:val="00E426F5"/>
    <w:rsid w:val="00E66758"/>
    <w:rsid w:val="00E95D3D"/>
    <w:rsid w:val="00EC379E"/>
    <w:rsid w:val="00ED5944"/>
    <w:rsid w:val="00EF1853"/>
    <w:rsid w:val="00F07531"/>
    <w:rsid w:val="00F12450"/>
    <w:rsid w:val="00F26A8D"/>
    <w:rsid w:val="00F32F18"/>
    <w:rsid w:val="00F3376C"/>
    <w:rsid w:val="00F403F3"/>
    <w:rsid w:val="00F910F7"/>
    <w:rsid w:val="00F946CA"/>
    <w:rsid w:val="00FB10F8"/>
    <w:rsid w:val="00FB54F5"/>
    <w:rsid w:val="00FB662A"/>
    <w:rsid w:val="00FC6696"/>
    <w:rsid w:val="00FE2967"/>
    <w:rsid w:val="00FE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724A21"/>
  <w15:docId w15:val="{8120F590-4014-429E-AD15-069F8405C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201"/>
    <w:pPr>
      <w:spacing w:after="24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5944"/>
  </w:style>
  <w:style w:type="character" w:styleId="Hyperlink">
    <w:name w:val="Hyperlink"/>
    <w:rsid w:val="000832D9"/>
    <w:rPr>
      <w:color w:val="0000FF"/>
      <w:u w:val="single"/>
    </w:rPr>
  </w:style>
  <w:style w:type="table" w:styleId="TableGrid">
    <w:name w:val="Table Grid"/>
    <w:basedOn w:val="TableNormal"/>
    <w:rsid w:val="000832D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C78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C78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BK415-002020-00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415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FB48B7-79DA-4D2E-9C3A-250835B7F05B}"/>
</file>

<file path=customXml/itemProps2.xml><?xml version="1.0" encoding="utf-8"?>
<ds:datastoreItem xmlns:ds="http://schemas.openxmlformats.org/officeDocument/2006/customXml" ds:itemID="{BC67895E-2735-41E4-94B2-C7A07C101FA1}"/>
</file>

<file path=customXml/itemProps3.xml><?xml version="1.0" encoding="utf-8"?>
<ds:datastoreItem xmlns:ds="http://schemas.openxmlformats.org/officeDocument/2006/customXml" ds:itemID="{A9F08968-F40F-4725-B8CB-2ADA625B34C2}"/>
</file>

<file path=customXml/itemProps4.xml><?xml version="1.0" encoding="utf-8"?>
<ds:datastoreItem xmlns:ds="http://schemas.openxmlformats.org/officeDocument/2006/customXml" ds:itemID="{EF9B1834-EA16-4F0A-BD40-66333B9D13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741</Words>
  <Characters>3824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Concrete Slope Protection</vt:lpstr>
    </vt:vector>
  </TitlesOfParts>
  <Company>VDOT</Company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Concrete Slope Protection</dc:title>
  <dc:creator>vdot</dc:creator>
  <cp:lastModifiedBy>Changes</cp:lastModifiedBy>
  <cp:revision>2</cp:revision>
  <dcterms:created xsi:type="dcterms:W3CDTF">2020-01-03T16:00:00Z</dcterms:created>
  <dcterms:modified xsi:type="dcterms:W3CDTF">2020-01-03T16:00:00Z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SPEC100</vt:lpwstr>
  </property>
  <property fmtid="{D5CDD505-2E9C-101B-9397-08002B2CF9AE}" pid="3" name="_dlc_DocId">
    <vt:lpwstr>/insidevdot/div/sc/Design/Specs/Book|cb4660b8-fd12-4125-8734-0318ffffff93</vt:lpwstr>
  </property>
  <property fmtid="{D5CDD505-2E9C-101B-9397-08002B2CF9AE}" pid="4" name="_dlc_DocIdItemGuid">
    <vt:lpwstr>cb4660b8-fd12-4125-8734-0318ffffff93</vt:lpwstr>
  </property>
  <property fmtid="{D5CDD505-2E9C-101B-9397-08002B2CF9AE}" pid="5" name="_dlc_DocIdUrl">
    <vt:lpwstr>https://insidevdot.cov.virginia.gov/div/sc/Design/Specs/Book/_layouts/DocIdRedir.aspx?ID=%2finsidevdot%2fdiv%2fsc%2fDesign%2fSpecs%2fBook%7ccb4660b8-fd12-4125-8734-0318ffffff93, /insidevdot/div/sc/Design/Specs/Book|cb4660b8-fd12-4125-8734-0318ffffff93</vt:lpwstr>
  </property>
  <property fmtid="{D5CDD505-2E9C-101B-9397-08002B2CF9AE}" pid="6" name="Locked">
    <vt:lpwstr>N</vt:lpwstr>
  </property>
  <property fmtid="{D5CDD505-2E9C-101B-9397-08002B2CF9AE}" pid="7" name="Order">
    <vt:r8>9400</vt:r8>
  </property>
  <property fmtid="{D5CDD505-2E9C-101B-9397-08002B2CF9AE}" pid="8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9" name="AROTCE">
    <vt:lpwstr/>
  </property>
  <property fmtid="{D5CDD505-2E9C-101B-9397-08002B2CF9AE}" pid="10" name="SME(s)">
    <vt:lpwstr/>
  </property>
  <property fmtid="{D5CDD505-2E9C-101B-9397-08002B2CF9AE}" pid="11" name="ContentTypeId">
    <vt:lpwstr>0x010100771DA6D9234A1F4BB626256BCE9A5673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Specification Number">
    <vt:lpwstr>BK415-002016-00</vt:lpwstr>
  </property>
  <property fmtid="{D5CDD505-2E9C-101B-9397-08002B2CF9AE}" pid="16" name="Availability Date">
    <vt:filetime>2016-07-01T04:00:00Z</vt:filetime>
  </property>
  <property fmtid="{D5CDD505-2E9C-101B-9397-08002B2CF9AE}" pid="17" name="Sect">
    <vt:lpwstr>415</vt:lpwstr>
  </property>
  <property fmtid="{D5CDD505-2E9C-101B-9397-08002B2CF9AE}" pid="18" name="Document Type">
    <vt:lpwstr>Spec Book</vt:lpwstr>
  </property>
  <property fmtid="{D5CDD505-2E9C-101B-9397-08002B2CF9AE}" pid="19" name="Status">
    <vt:lpwstr>Active</vt:lpwstr>
  </property>
  <property fmtid="{D5CDD505-2E9C-101B-9397-08002B2CF9AE}" pid="20" name="Contains Fields">
    <vt:lpwstr>No</vt:lpwstr>
  </property>
  <property fmtid="{D5CDD505-2E9C-101B-9397-08002B2CF9AE}" pid="21" name="Div">
    <vt:lpwstr>IV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