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397EC" w14:textId="09F48783" w:rsidR="00CE4C42" w:rsidRPr="00CE4C42" w:rsidRDefault="00CE4C42" w:rsidP="00CE4C42">
      <w:pPr>
        <w:autoSpaceDE w:val="0"/>
        <w:autoSpaceDN w:val="0"/>
        <w:adjustRightInd w:val="0"/>
        <w:jc w:val="center"/>
        <w:outlineLvl w:val="0"/>
        <w:rPr>
          <w:rFonts w:eastAsiaTheme="minorHAnsi" w:cs="Arial"/>
          <w:b/>
          <w:bCs/>
        </w:rPr>
      </w:pPr>
      <w:r w:rsidRPr="00CE4C42">
        <w:rPr>
          <w:rFonts w:eastAsiaTheme="minorHAnsi" w:cs="Arial"/>
          <w:b/>
          <w:bCs/>
        </w:rPr>
        <w:t xml:space="preserve">SECTION 424 </w:t>
      </w:r>
      <w:r>
        <w:rPr>
          <w:rFonts w:eastAsiaTheme="minorHAnsi" w:cs="Arial"/>
          <w:b/>
          <w:bCs/>
        </w:rPr>
        <w:t xml:space="preserve">– </w:t>
      </w:r>
      <w:r w:rsidRPr="00CE4C42">
        <w:rPr>
          <w:rFonts w:eastAsiaTheme="minorHAnsi" w:cs="Arial"/>
          <w:b/>
          <w:bCs/>
        </w:rPr>
        <w:t>ASPHALT PLUG JOINTS</w:t>
      </w:r>
    </w:p>
    <w:p w14:paraId="0E87FDD2" w14:textId="591200E2" w:rsidR="00CE4C42" w:rsidRPr="00CE4C42" w:rsidRDefault="00CE4C42" w:rsidP="00574924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424.01 – </w:t>
      </w:r>
      <w:r w:rsidRPr="00CE4C42">
        <w:rPr>
          <w:rFonts w:eastAsiaTheme="minorHAnsi" w:cs="Arial"/>
          <w:b/>
          <w:bCs/>
        </w:rPr>
        <w:t>Description</w:t>
      </w:r>
    </w:p>
    <w:p w14:paraId="5B3CB602" w14:textId="5DB15809" w:rsidR="00CE4C42" w:rsidRPr="00CE4C42" w:rsidRDefault="00CE4C42" w:rsidP="0057492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This work shall consist of supplying and installing a blended polyme</w:t>
      </w:r>
      <w:r>
        <w:rPr>
          <w:rFonts w:eastAsia="TimesNewRomanPS" w:cs="Arial"/>
        </w:rPr>
        <w:t xml:space="preserve">r modified asphaltic binder and </w:t>
      </w:r>
      <w:r w:rsidRPr="00CE4C42">
        <w:rPr>
          <w:rFonts w:eastAsia="TimesNewRomanPS" w:cs="Arial"/>
        </w:rPr>
        <w:t>aggregate system in layers into a prepared expansion joint block-out on a</w:t>
      </w:r>
      <w:r>
        <w:rPr>
          <w:rFonts w:eastAsia="TimesNewRomanPS" w:cs="Arial"/>
        </w:rPr>
        <w:t xml:space="preserve">n asphalt concrete overlay on a </w:t>
      </w:r>
      <w:r w:rsidRPr="00CE4C42">
        <w:rPr>
          <w:rFonts w:eastAsia="TimesNewRomanPS" w:cs="Arial"/>
        </w:rPr>
        <w:t>concrete bridge deck. After installation and curing, the system will provi</w:t>
      </w:r>
      <w:r>
        <w:rPr>
          <w:rFonts w:eastAsia="TimesNewRomanPS" w:cs="Arial"/>
        </w:rPr>
        <w:t xml:space="preserve">de a flexible waterproof bridge </w:t>
      </w:r>
      <w:r w:rsidRPr="00CE4C42">
        <w:rPr>
          <w:rFonts w:eastAsia="TimesNewRomanPS" w:cs="Arial"/>
        </w:rPr>
        <w:t>joint which will allow for a joint movement of 1 inch in expansion and 1</w:t>
      </w:r>
      <w:r>
        <w:rPr>
          <w:rFonts w:eastAsia="TimesNewRomanPS" w:cs="Arial"/>
        </w:rPr>
        <w:t xml:space="preserve"> inch of compression. The joint </w:t>
      </w:r>
      <w:r w:rsidRPr="00CE4C42">
        <w:rPr>
          <w:rFonts w:eastAsia="TimesNewRomanPS" w:cs="Arial"/>
        </w:rPr>
        <w:t>shall be placed at a nominal width of 20 inches and a thickness of no less than 2 inches.</w:t>
      </w:r>
    </w:p>
    <w:p w14:paraId="431F5DE4" w14:textId="44A99261" w:rsidR="00CE4C42" w:rsidRPr="00CE4C42" w:rsidRDefault="00CE4C42" w:rsidP="00574924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424.02 – </w:t>
      </w:r>
      <w:r w:rsidRPr="00CE4C42">
        <w:rPr>
          <w:rFonts w:eastAsiaTheme="minorHAnsi" w:cs="Arial"/>
          <w:b/>
          <w:bCs/>
        </w:rPr>
        <w:t>Materials</w:t>
      </w:r>
    </w:p>
    <w:p w14:paraId="5E52AB14" w14:textId="77777777" w:rsidR="00CE4C42" w:rsidRDefault="00CE4C42" w:rsidP="00574924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CE4C42">
        <w:rPr>
          <w:rFonts w:eastAsiaTheme="minorHAnsi" w:cs="Arial"/>
          <w:b/>
          <w:bCs/>
        </w:rPr>
        <w:t xml:space="preserve">Backer rod </w:t>
      </w:r>
      <w:r w:rsidRPr="00CE4C42">
        <w:rPr>
          <w:rFonts w:eastAsia="TimesNewRomanPS" w:cs="Arial"/>
        </w:rPr>
        <w:t>shall be expanded closed cell polyethylene foam capable of withstanding the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elevated installation temperature (390°F) of the hot binder material and meet the specification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requirements of ASTM D 5249.</w:t>
      </w:r>
    </w:p>
    <w:p w14:paraId="7C9F495E" w14:textId="77777777" w:rsidR="00CE4C42" w:rsidRDefault="00CE4C42" w:rsidP="00574924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CE4C42">
        <w:rPr>
          <w:rFonts w:eastAsiaTheme="minorHAnsi" w:cs="Arial"/>
          <w:b/>
          <w:bCs/>
        </w:rPr>
        <w:t xml:space="preserve">Asphalt binder </w:t>
      </w:r>
      <w:r w:rsidRPr="00CE4C42">
        <w:rPr>
          <w:rFonts w:eastAsia="TimesNewRomanPS" w:cs="Arial"/>
        </w:rPr>
        <w:t>shall be thermoplastic polymeric- modified asphalt conforming to Table 1 of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ASTM D 6297.</w:t>
      </w:r>
    </w:p>
    <w:p w14:paraId="05730B6A" w14:textId="77777777" w:rsidR="00CE4C42" w:rsidRDefault="00CE4C42" w:rsidP="00574924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CE4C42">
        <w:rPr>
          <w:rFonts w:eastAsiaTheme="minorHAnsi" w:cs="Arial"/>
          <w:b/>
          <w:bCs/>
        </w:rPr>
        <w:t xml:space="preserve">Aggregate </w:t>
      </w:r>
      <w:r w:rsidRPr="00CE4C42">
        <w:rPr>
          <w:rFonts w:eastAsia="TimesNewRomanPS" w:cs="Arial"/>
        </w:rPr>
        <w:t>shall be non-polishing of the Basalt, Gabbro or Granite group. All aggregates shall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be crushed, double washed, dried and delivered to the job site pre-weighted in weatherproof,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labeled bags. The gradation must meet the requirements of joint system manufacturer.</w:t>
      </w:r>
    </w:p>
    <w:p w14:paraId="40875ABA" w14:textId="77777777" w:rsidR="00CE4C42" w:rsidRDefault="00CE4C42" w:rsidP="00574924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CE4C42">
        <w:rPr>
          <w:rFonts w:eastAsiaTheme="minorHAnsi" w:cs="Arial"/>
          <w:b/>
          <w:bCs/>
        </w:rPr>
        <w:t xml:space="preserve">Steel backing plate </w:t>
      </w:r>
      <w:r w:rsidRPr="00CE4C42">
        <w:rPr>
          <w:rFonts w:eastAsia="TimesNewRomanPS" w:cs="Arial"/>
        </w:rPr>
        <w:t>shall conform to the specification requirements of ASTM A36/A 36M,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and shall be galvanized in accordance with Section 233. The plate shall have a minimum thickness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of 1/4 inch and a minimum width of 8 inches, unless otherwise noted by the joint system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manufacturer.</w:t>
      </w:r>
    </w:p>
    <w:p w14:paraId="2AFF3D92" w14:textId="11E442C9" w:rsidR="00CE4C42" w:rsidRPr="00CE4C42" w:rsidRDefault="00CE4C42" w:rsidP="00574924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CE4C42">
        <w:rPr>
          <w:rFonts w:eastAsiaTheme="minorHAnsi" w:cs="Arial"/>
          <w:b/>
          <w:bCs/>
        </w:rPr>
        <w:t xml:space="preserve">Asphalt plug joint systems </w:t>
      </w:r>
      <w:r w:rsidRPr="00CE4C42">
        <w:rPr>
          <w:rFonts w:eastAsia="TimesNewRomanPS" w:cs="Arial"/>
        </w:rPr>
        <w:t>shall conform to ASTM D6297 and shall be selected from the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Materials Division’s Approved Products List No. 77</w:t>
      </w:r>
    </w:p>
    <w:p w14:paraId="1CE9CFBA" w14:textId="4731AC0C" w:rsidR="00CE4C42" w:rsidRPr="00CE4C42" w:rsidRDefault="00CE4C42" w:rsidP="00574924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424.03 – </w:t>
      </w:r>
      <w:r w:rsidRPr="00CE4C42">
        <w:rPr>
          <w:rFonts w:eastAsiaTheme="minorHAnsi" w:cs="Arial"/>
          <w:b/>
          <w:bCs/>
        </w:rPr>
        <w:t>Procedures</w:t>
      </w:r>
    </w:p>
    <w:p w14:paraId="62A8D883" w14:textId="77777777" w:rsidR="00CE4C42" w:rsidRDefault="00CE4C42" w:rsidP="00574924">
      <w:pPr>
        <w:pStyle w:val="ListParagraph"/>
        <w:numPr>
          <w:ilvl w:val="0"/>
          <w:numId w:val="9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CE4C42">
        <w:rPr>
          <w:rFonts w:eastAsiaTheme="minorHAnsi" w:cs="Arial"/>
          <w:b/>
          <w:bCs/>
        </w:rPr>
        <w:t xml:space="preserve">General: </w:t>
      </w:r>
      <w:r w:rsidRPr="00CE4C42">
        <w:rPr>
          <w:rFonts w:eastAsia="TimesNewRomanPS" w:cs="Arial"/>
        </w:rPr>
        <w:t>The Contractor shall submit complete and detailed working drawings of the asphalt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plug joint system the Contractor proposes to use for review by the Engineer. The working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drawings shall include materials, materials properties, installation procedures, storage, and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handling requirements, and materials safety data sheets.</w:t>
      </w:r>
    </w:p>
    <w:p w14:paraId="5DCE01D6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The asphalt plug joint shall extend from face-of-curb to face-of-curb. The method for sealing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joints in curbs or parapets shall be developed by the Contractor and approved by the Engineer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prior to installation. The method for sealing joints in curbs or parapets shall be detailed on the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working drawings.</w:t>
      </w:r>
    </w:p>
    <w:p w14:paraId="645E8D88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Asphalt plug joint systems shall be installed in accordance with the manufacturer’s instructions.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A manufacturer’s representative shall be present during the entire installation to ensure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satisfactory results are obtained.</w:t>
      </w:r>
    </w:p>
    <w:p w14:paraId="36220606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Asphalt plug joint systems shall allow total joint movement of up to 2 inches. The installation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shall be centered over the expansion joint gap.</w:t>
      </w:r>
    </w:p>
    <w:p w14:paraId="20EC6873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The joint shall not be installed when the ambient or substrate temperatures are predicted to be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below 40 degrees F at any time during the installation, when precipitation is imminent, or when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otherwise prohibited by the manufacturer or the Engineer.</w:t>
      </w:r>
    </w:p>
    <w:p w14:paraId="76B89E33" w14:textId="77777777" w:rsidR="00CE4C42" w:rsidRDefault="00CE4C42" w:rsidP="00574924">
      <w:pPr>
        <w:pStyle w:val="ListParagraph"/>
        <w:numPr>
          <w:ilvl w:val="0"/>
          <w:numId w:val="9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CE4C42">
        <w:rPr>
          <w:rFonts w:eastAsiaTheme="minorHAnsi" w:cs="Arial"/>
          <w:b/>
          <w:bCs/>
        </w:rPr>
        <w:t xml:space="preserve">Installation: </w:t>
      </w:r>
      <w:r w:rsidRPr="00CE4C42">
        <w:rPr>
          <w:rFonts w:eastAsia="TimesNewRomanPS" w:cs="Arial"/>
        </w:rPr>
        <w:t>Existing pavement and/or existing joints shall be saw cut to the full depth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required for installation of the new plug joint and removed in accordance with the plan details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 xml:space="preserve">or as directed by the </w:t>
      </w:r>
      <w:r w:rsidRPr="00CE4C42">
        <w:rPr>
          <w:rFonts w:eastAsia="TimesNewRomanPS" w:cs="Arial"/>
        </w:rPr>
        <w:lastRenderedPageBreak/>
        <w:t>Engineer in order to form the joint block-out. Existing pavement and/or existing joints shall be removed with pneumatic hand tools. Waterproofing membranes, if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present, shall also be removed.</w:t>
      </w:r>
    </w:p>
    <w:p w14:paraId="63C55A03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Small areas of deteriorated concrete in the block-out area shall be repaired with an approved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material as directed by the Engineer.</w:t>
      </w:r>
    </w:p>
    <w:p w14:paraId="0967877E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The entire joint block-out area shall be cleaned by abrasive blast cleaning and dried using a hot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compressed air lance.</w:t>
      </w:r>
    </w:p>
    <w:p w14:paraId="6CBEF173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Backer rods shall be installed in expansion joint openings at a minimum of one (1) inch depth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as indicated on the installation details. Backer rod dimensions shall be as required by the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manufacturer.</w:t>
      </w:r>
    </w:p>
    <w:p w14:paraId="5380BD65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Immediately after cleaning and installing backer rod, coat the bottom of the block-out area with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a layer of hot binder that has been heated in accordance with the manufacturer’s instructions. If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there is a greater than one hour delay between cleaning and placement of the binder material,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the joint shall be re-cleaned using a hot compressed air lance.</w:t>
      </w:r>
    </w:p>
    <w:p w14:paraId="3FA0D827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Steel backing plates shall extend from face of curb to face of curb on the bridge deck portion of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the expansion joint. There shall be at least 2 inches between the edge of the backing plate and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the wall of the joint block-out. Backing plates shall be steel and dimensions shall be as required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by the manufacturer. Locating pins shall only be used when required by the manufacturer of the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joint system. When required by the manufacturer, locating pins shall be spaced in accordance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with the manufacturer’s instructions.</w:t>
      </w:r>
    </w:p>
    <w:p w14:paraId="4A3C1C57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The walls of the joint block-out and the backing plates shall be coated with binder immediately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after the steel backing plates are placed, making sure that that the plates are entirely encapsulated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by the binder.</w:t>
      </w:r>
    </w:p>
    <w:p w14:paraId="3B9F409F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Aggregate shall be heated in a rotating drum mixer to a temperature between 375 degrees F and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the maximum safe binder temperature as specified by the manufacturer. After the aggregate is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heated, binder shall be added to the mixer to pre-coat the aggregate.</w:t>
      </w:r>
    </w:p>
    <w:p w14:paraId="5AA209E7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Coated aggregate shall be placed and compacted in the block-out in layers as recommended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by the manufacturer. The block-out shall be overfilled with coated aggregate as required to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compensate for compaction.</w:t>
      </w:r>
    </w:p>
    <w:p w14:paraId="371DFCB3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Compaction shall begin immediately after placement of the material in the block-out and the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joint surface shall be made approximately flush with the existing asphalt surface. The material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shall be compacted longitudinally and transversely to the joint using a roller or plate compactor,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which delivers a minimum centrifugal force of 3400 pounds.</w:t>
      </w:r>
    </w:p>
    <w:p w14:paraId="422D9C22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After compaction, lines of 3 inches tape shall be placed one inch beyond the joint width on each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side of the joint to insure evenness of appearance. The joint and at least one inch of the road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surface shall be top-coated with the hot binder until the surface is smooth and absent of voids.</w:t>
      </w:r>
    </w:p>
    <w:p w14:paraId="3AC3D974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Immediately after top-coating, an anti-skid material shall be spread evenly over the joint to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eliminate material tracking.</w:t>
      </w:r>
    </w:p>
    <w:p w14:paraId="154DD31F" w14:textId="77777777" w:rsid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Vehicular traffic must not pass over finished joints until at least two hours after completion of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compaction or longer when recommended by the manufacturer.</w:t>
      </w:r>
    </w:p>
    <w:p w14:paraId="52C1715D" w14:textId="641A731B" w:rsidR="00CE4C42" w:rsidRPr="00CE4C42" w:rsidRDefault="00CE4C42" w:rsidP="00574924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When specified on the plans or directed by the Engineer, an adhesive based joint sealer shall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be installed in conjunction with the asphalt plug joint. The details for the installation shall be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as shown on the plans. The adhesive based joint sealer shall conform to Section 420. When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specified, the adhesive based joint sealer will be measured for separate payment in accordance</w:t>
      </w:r>
      <w:r>
        <w:rPr>
          <w:rFonts w:eastAsia="TimesNewRomanPS" w:cs="Arial"/>
        </w:rPr>
        <w:t xml:space="preserve"> </w:t>
      </w:r>
      <w:r w:rsidRPr="00CE4C42">
        <w:rPr>
          <w:rFonts w:eastAsia="TimesNewRomanPS" w:cs="Arial"/>
        </w:rPr>
        <w:t>with Section 420.</w:t>
      </w:r>
    </w:p>
    <w:p w14:paraId="6226EF0D" w14:textId="10DFA0E7" w:rsidR="00CE4C42" w:rsidRPr="00CE4C42" w:rsidRDefault="00CE4C42" w:rsidP="00574924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lastRenderedPageBreak/>
        <w:t xml:space="preserve">424.04 – </w:t>
      </w:r>
      <w:r w:rsidRPr="00CE4C42">
        <w:rPr>
          <w:rFonts w:eastAsiaTheme="minorHAnsi" w:cs="Arial"/>
          <w:b/>
          <w:bCs/>
        </w:rPr>
        <w:t>Measurement and Payment</w:t>
      </w:r>
    </w:p>
    <w:p w14:paraId="31AA8ED4" w14:textId="089B9C9A" w:rsidR="00CE4C42" w:rsidRPr="00CE4C42" w:rsidRDefault="00CE4C42" w:rsidP="0057492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CE4C42">
        <w:rPr>
          <w:rFonts w:eastAsiaTheme="minorHAnsi" w:cs="Arial"/>
          <w:b/>
          <w:bCs/>
        </w:rPr>
        <w:t xml:space="preserve">Furnish Asphalt Plug Joint </w:t>
      </w:r>
      <w:r w:rsidRPr="00CE4C42">
        <w:rPr>
          <w:rFonts w:eastAsia="TimesNewRomanPS" w:cs="Arial"/>
        </w:rPr>
        <w:t xml:space="preserve">will be measured in cubic feet of material </w:t>
      </w:r>
      <w:r>
        <w:rPr>
          <w:rFonts w:eastAsia="TimesNewRomanPS" w:cs="Arial"/>
        </w:rPr>
        <w:t xml:space="preserve">recommended by the joint system </w:t>
      </w:r>
      <w:r w:rsidRPr="00CE4C42">
        <w:rPr>
          <w:rFonts w:eastAsia="TimesNewRomanPS" w:cs="Arial"/>
        </w:rPr>
        <w:t>manufacturer and a</w:t>
      </w:r>
      <w:bookmarkStart w:id="0" w:name="_GoBack"/>
      <w:bookmarkEnd w:id="0"/>
      <w:r w:rsidRPr="00CE4C42">
        <w:rPr>
          <w:rFonts w:eastAsia="TimesNewRomanPS" w:cs="Arial"/>
        </w:rPr>
        <w:t xml:space="preserve">pproved by the Engineer, and will be paid for at the contract </w:t>
      </w:r>
      <w:r>
        <w:rPr>
          <w:rFonts w:eastAsia="TimesNewRomanPS" w:cs="Arial"/>
        </w:rPr>
        <w:t xml:space="preserve">unit price per cubic foot. This </w:t>
      </w:r>
      <w:r w:rsidRPr="00CE4C42">
        <w:rPr>
          <w:rFonts w:eastAsia="TimesNewRomanPS" w:cs="Arial"/>
        </w:rPr>
        <w:t>price shall include furnishing and delivering the asphalt binder material and aggregate to the project site.</w:t>
      </w:r>
    </w:p>
    <w:p w14:paraId="39FADABE" w14:textId="3BC4E8A8" w:rsidR="00CE4C42" w:rsidRPr="00CE4C42" w:rsidRDefault="00CE4C42" w:rsidP="0057492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CE4C42">
        <w:rPr>
          <w:rFonts w:eastAsiaTheme="minorHAnsi" w:cs="Arial"/>
          <w:b/>
          <w:bCs/>
        </w:rPr>
        <w:t xml:space="preserve">Place Asphalt Plug Joint </w:t>
      </w:r>
      <w:r w:rsidRPr="00CE4C42">
        <w:rPr>
          <w:rFonts w:eastAsia="TimesNewRomanPS" w:cs="Arial"/>
        </w:rPr>
        <w:t>will be measured in linear feet along the center</w:t>
      </w:r>
      <w:r>
        <w:rPr>
          <w:rFonts w:eastAsia="TimesNewRomanPS" w:cs="Arial"/>
        </w:rPr>
        <w:t xml:space="preserve">line of the joint for a nominal </w:t>
      </w:r>
      <w:r w:rsidRPr="00CE4C42">
        <w:rPr>
          <w:rFonts w:eastAsia="TimesNewRomanPS" w:cs="Arial"/>
        </w:rPr>
        <w:t>width of 20 inches, and will be paid for at the contract unit price per linear</w:t>
      </w:r>
      <w:r>
        <w:rPr>
          <w:rFonts w:eastAsia="TimesNewRomanPS" w:cs="Arial"/>
        </w:rPr>
        <w:t xml:space="preserve"> foot. This price shall include </w:t>
      </w:r>
      <w:r w:rsidRPr="00CE4C42">
        <w:rPr>
          <w:rFonts w:eastAsia="TimesNewRomanPS" w:cs="Arial"/>
        </w:rPr>
        <w:t>removing and disposing of existing overlay or pavement material and</w:t>
      </w:r>
      <w:r>
        <w:rPr>
          <w:rFonts w:eastAsia="TimesNewRomanPS" w:cs="Arial"/>
        </w:rPr>
        <w:t xml:space="preserve"> existing joints and membranes; </w:t>
      </w:r>
      <w:r w:rsidRPr="00CE4C42">
        <w:rPr>
          <w:rFonts w:eastAsia="TimesNewRomanPS" w:cs="Arial"/>
        </w:rPr>
        <w:t>repairing small areas of concrete deterioration in the block-out area; prep</w:t>
      </w:r>
      <w:r>
        <w:rPr>
          <w:rFonts w:eastAsia="TimesNewRomanPS" w:cs="Arial"/>
        </w:rPr>
        <w:t xml:space="preserve">aring contact surfaces; placing </w:t>
      </w:r>
      <w:r w:rsidRPr="00CE4C42">
        <w:rPr>
          <w:rFonts w:eastAsia="TimesNewRomanPS" w:cs="Arial"/>
        </w:rPr>
        <w:t>asphalt binder material and aggregate; furnishing and placing backer</w:t>
      </w:r>
      <w:r>
        <w:rPr>
          <w:rFonts w:eastAsia="TimesNewRomanPS" w:cs="Arial"/>
        </w:rPr>
        <w:t xml:space="preserve"> rod, anti-skid material, steel </w:t>
      </w:r>
      <w:r w:rsidRPr="00CE4C42">
        <w:rPr>
          <w:rFonts w:eastAsia="TimesNewRomanPS" w:cs="Arial"/>
        </w:rPr>
        <w:t>backing plates, sealing joints in curbs or parapets; working drawings; and services of the manufacturer’</w:t>
      </w:r>
      <w:r>
        <w:rPr>
          <w:rFonts w:eastAsia="TimesNewRomanPS" w:cs="Arial"/>
        </w:rPr>
        <w:t xml:space="preserve">s </w:t>
      </w:r>
      <w:r w:rsidRPr="00CE4C42">
        <w:rPr>
          <w:rFonts w:eastAsia="TimesNewRomanPS" w:cs="Arial"/>
        </w:rPr>
        <w:t>representative.</w:t>
      </w:r>
    </w:p>
    <w:p w14:paraId="3B386CA8" w14:textId="77777777" w:rsidR="00CE4C42" w:rsidRDefault="00CE4C42" w:rsidP="00574924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CE4C42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710"/>
      </w:tblGrid>
      <w:tr w:rsidR="00CE4C42" w14:paraId="0565CE25" w14:textId="77777777" w:rsidTr="0007437A"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4FE4A8A9" w14:textId="6C6E7DBF" w:rsidR="00CE4C42" w:rsidRDefault="00CE4C42" w:rsidP="00CE4C4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CE4C42">
              <w:rPr>
                <w:rFonts w:eastAsiaTheme="minorHAnsi" w:cs="Arial"/>
                <w:b/>
                <w:bCs/>
              </w:rPr>
              <w:t>Pay Item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2273696" w14:textId="137B14CC" w:rsidR="00CE4C42" w:rsidRDefault="00CE4C42" w:rsidP="00CE4C4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CE4C42">
              <w:rPr>
                <w:rFonts w:eastAsiaTheme="minorHAnsi" w:cs="Arial"/>
                <w:b/>
                <w:bCs/>
              </w:rPr>
              <w:t>Pay Unit</w:t>
            </w:r>
          </w:p>
        </w:tc>
      </w:tr>
      <w:tr w:rsidR="00CE4C42" w14:paraId="15910D54" w14:textId="77777777" w:rsidTr="0007437A">
        <w:tc>
          <w:tcPr>
            <w:tcW w:w="3150" w:type="dxa"/>
            <w:tcBorders>
              <w:top w:val="single" w:sz="4" w:space="0" w:color="auto"/>
            </w:tcBorders>
          </w:tcPr>
          <w:p w14:paraId="2DA21704" w14:textId="10E62783" w:rsidR="00CE4C42" w:rsidRDefault="00CE4C42" w:rsidP="00CE4C4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CE4C42">
              <w:rPr>
                <w:rFonts w:eastAsia="TimesNewRomanPS" w:cs="Arial"/>
              </w:rPr>
              <w:t>Furnish Asphalt Plug Joint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E59C96C" w14:textId="2AD03C06" w:rsidR="00CE4C42" w:rsidRDefault="00CE4C42" w:rsidP="00CE4C4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CE4C42">
              <w:rPr>
                <w:rFonts w:eastAsia="TimesNewRomanPS" w:cs="Arial"/>
              </w:rPr>
              <w:t>Cubic Foot</w:t>
            </w:r>
          </w:p>
        </w:tc>
      </w:tr>
      <w:tr w:rsidR="00CE4C42" w14:paraId="71AF3804" w14:textId="77777777" w:rsidTr="0007437A">
        <w:tc>
          <w:tcPr>
            <w:tcW w:w="3150" w:type="dxa"/>
          </w:tcPr>
          <w:p w14:paraId="78B901DD" w14:textId="79AB1C2C" w:rsidR="00CE4C42" w:rsidRDefault="00CE4C42" w:rsidP="00CE4C4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CE4C42">
              <w:rPr>
                <w:rFonts w:eastAsia="TimesNewRomanPS" w:cs="Arial"/>
              </w:rPr>
              <w:t>Place Asphalt Plug Joint</w:t>
            </w:r>
          </w:p>
        </w:tc>
        <w:tc>
          <w:tcPr>
            <w:tcW w:w="1710" w:type="dxa"/>
          </w:tcPr>
          <w:p w14:paraId="6C897DE2" w14:textId="551BC7AE" w:rsidR="00CE4C42" w:rsidRDefault="00CE4C42" w:rsidP="00CE4C4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CE4C42">
              <w:rPr>
                <w:rFonts w:eastAsia="TimesNewRomanPS" w:cs="Arial"/>
              </w:rPr>
              <w:t>Linear Foot</w:t>
            </w:r>
          </w:p>
        </w:tc>
      </w:tr>
    </w:tbl>
    <w:p w14:paraId="3C95A92E" w14:textId="25C8520D" w:rsidR="003A23DF" w:rsidRPr="00CE4C42" w:rsidRDefault="003A23DF" w:rsidP="00CE4C42">
      <w:pPr>
        <w:autoSpaceDE w:val="0"/>
        <w:autoSpaceDN w:val="0"/>
        <w:adjustRightInd w:val="0"/>
        <w:rPr>
          <w:rFonts w:cs="Arial"/>
        </w:rPr>
      </w:pPr>
    </w:p>
    <w:sectPr w:rsidR="003A23DF" w:rsidRPr="00CE4C42" w:rsidSect="003A2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EF8"/>
    <w:multiLevelType w:val="multilevel"/>
    <w:tmpl w:val="F8DA7154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0943CBC"/>
    <w:multiLevelType w:val="multilevel"/>
    <w:tmpl w:val="F8DA7154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97F32FA"/>
    <w:multiLevelType w:val="hybridMultilevel"/>
    <w:tmpl w:val="E00E15E0"/>
    <w:lvl w:ilvl="0" w:tplc="2E18BCF2">
      <w:start w:val="1"/>
      <w:numFmt w:val="lowerLetter"/>
      <w:lvlText w:val="(%1)"/>
      <w:lvlJc w:val="left"/>
      <w:pPr>
        <w:ind w:left="720" w:hanging="360"/>
      </w:pPr>
      <w:rPr>
        <w:rFonts w:hint="default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0650B"/>
    <w:multiLevelType w:val="hybridMultilevel"/>
    <w:tmpl w:val="477E33E8"/>
    <w:lvl w:ilvl="0" w:tplc="2E18BCF2">
      <w:start w:val="1"/>
      <w:numFmt w:val="lowerLetter"/>
      <w:lvlText w:val="(%1)"/>
      <w:lvlJc w:val="left"/>
      <w:pPr>
        <w:ind w:left="720" w:hanging="360"/>
      </w:pPr>
      <w:rPr>
        <w:rFonts w:hint="default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72896"/>
    <w:multiLevelType w:val="hybridMultilevel"/>
    <w:tmpl w:val="A72CF58E"/>
    <w:lvl w:ilvl="0" w:tplc="DBB2C30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B3D09"/>
    <w:multiLevelType w:val="hybridMultilevel"/>
    <w:tmpl w:val="ACF251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256950"/>
    <w:multiLevelType w:val="hybridMultilevel"/>
    <w:tmpl w:val="D22C875E"/>
    <w:lvl w:ilvl="0" w:tplc="B698818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FBD2951"/>
    <w:multiLevelType w:val="hybridMultilevel"/>
    <w:tmpl w:val="D4A20D42"/>
    <w:lvl w:ilvl="0" w:tplc="2E18BCF2">
      <w:start w:val="1"/>
      <w:numFmt w:val="lowerLetter"/>
      <w:lvlText w:val="(%1)"/>
      <w:lvlJc w:val="left"/>
      <w:pPr>
        <w:ind w:left="720" w:hanging="360"/>
      </w:pPr>
      <w:rPr>
        <w:rFonts w:hint="default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D42BC"/>
    <w:multiLevelType w:val="hybridMultilevel"/>
    <w:tmpl w:val="AB708012"/>
    <w:lvl w:ilvl="0" w:tplc="B69881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65"/>
    <w:rsid w:val="00017924"/>
    <w:rsid w:val="00034650"/>
    <w:rsid w:val="000543AB"/>
    <w:rsid w:val="00062322"/>
    <w:rsid w:val="0007437A"/>
    <w:rsid w:val="000B4820"/>
    <w:rsid w:val="00206FD1"/>
    <w:rsid w:val="00247BDD"/>
    <w:rsid w:val="00265AF0"/>
    <w:rsid w:val="003064CB"/>
    <w:rsid w:val="00307CA6"/>
    <w:rsid w:val="003259C9"/>
    <w:rsid w:val="00333342"/>
    <w:rsid w:val="003A23DF"/>
    <w:rsid w:val="003E5FAE"/>
    <w:rsid w:val="00455C5A"/>
    <w:rsid w:val="00492E2F"/>
    <w:rsid w:val="00494B65"/>
    <w:rsid w:val="004C378A"/>
    <w:rsid w:val="004D6CA1"/>
    <w:rsid w:val="005547B6"/>
    <w:rsid w:val="00574924"/>
    <w:rsid w:val="0058585F"/>
    <w:rsid w:val="00587A90"/>
    <w:rsid w:val="005A3923"/>
    <w:rsid w:val="006473AB"/>
    <w:rsid w:val="006E49FB"/>
    <w:rsid w:val="00785865"/>
    <w:rsid w:val="008132E1"/>
    <w:rsid w:val="008E6DAB"/>
    <w:rsid w:val="009905EA"/>
    <w:rsid w:val="00A16DAA"/>
    <w:rsid w:val="00A30AA7"/>
    <w:rsid w:val="00A34D28"/>
    <w:rsid w:val="00A67B3E"/>
    <w:rsid w:val="00A80CFC"/>
    <w:rsid w:val="00AF4DD8"/>
    <w:rsid w:val="00B0426B"/>
    <w:rsid w:val="00B13CC0"/>
    <w:rsid w:val="00BD128D"/>
    <w:rsid w:val="00C32D89"/>
    <w:rsid w:val="00C60657"/>
    <w:rsid w:val="00CE4C42"/>
    <w:rsid w:val="00D20335"/>
    <w:rsid w:val="00D300B5"/>
    <w:rsid w:val="00DE67DD"/>
    <w:rsid w:val="00DF0D62"/>
    <w:rsid w:val="00DF4C5F"/>
    <w:rsid w:val="00E25100"/>
    <w:rsid w:val="00EA7315"/>
    <w:rsid w:val="00EF3928"/>
    <w:rsid w:val="00F4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5A8DD"/>
  <w15:docId w15:val="{A33C70BD-A387-426D-AB51-7633251D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C42"/>
    <w:pPr>
      <w:spacing w:after="24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5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86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33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7B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B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B3E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B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B3E"/>
    <w:rPr>
      <w:rFonts w:ascii="Arial" w:eastAsia="Times New Roman" w:hAnsi="Arial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E4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BK424-002020-00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424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D53F2A-B149-4BFD-92A2-796D7B46691C}"/>
</file>

<file path=customXml/itemProps2.xml><?xml version="1.0" encoding="utf-8"?>
<ds:datastoreItem xmlns:ds="http://schemas.openxmlformats.org/officeDocument/2006/customXml" ds:itemID="{CCA5FC94-C655-478E-AB93-F2EF9DBF129C}"/>
</file>

<file path=customXml/itemProps3.xml><?xml version="1.0" encoding="utf-8"?>
<ds:datastoreItem xmlns:ds="http://schemas.openxmlformats.org/officeDocument/2006/customXml" ds:itemID="{22993B92-6ADE-40C1-A453-AD34385447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Asphalt Plug Joints</vt:lpstr>
    </vt:vector>
  </TitlesOfParts>
  <Company>Virginia IT Infrastructure Partnership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Asphalt Plug Joints</dc:title>
  <dc:creator>Kyle R Haber</dc:creator>
  <cp:lastModifiedBy>Changes</cp:lastModifiedBy>
  <cp:revision>2</cp:revision>
  <dcterms:created xsi:type="dcterms:W3CDTF">2020-01-03T16:28:00Z</dcterms:created>
  <dcterms:modified xsi:type="dcterms:W3CDTF">2020-01-03T16:28:00Z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pecification Number">
    <vt:lpwstr>BK424-002016-00</vt:lpwstr>
  </property>
  <property fmtid="{D5CDD505-2E9C-101B-9397-08002B2CF9AE}" pid="7" name="Order">
    <vt:r8>131900</vt:r8>
  </property>
  <property fmtid="{D5CDD505-2E9C-101B-9397-08002B2CF9AE}" pid="8" name="Availability Date">
    <vt:filetime>2016-07-01T04:00:00Z</vt:filetime>
  </property>
  <property fmtid="{D5CDD505-2E9C-101B-9397-08002B2CF9AE}" pid="9" name="Sect">
    <vt:lpwstr>424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IV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</Properties>
</file>