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E95EB6" w14:textId="0D392F7F" w:rsidR="007A63C6" w:rsidRPr="007A63C6" w:rsidRDefault="007A63C6" w:rsidP="007A63C6">
      <w:pPr>
        <w:pStyle w:val="Pa0"/>
        <w:spacing w:after="240"/>
        <w:jc w:val="center"/>
        <w:outlineLvl w:val="0"/>
        <w:rPr>
          <w:rFonts w:ascii="Arial" w:hAnsi="Arial" w:cs="Arial"/>
          <w:sz w:val="20"/>
          <w:szCs w:val="20"/>
        </w:rPr>
      </w:pPr>
      <w:r>
        <w:rPr>
          <w:rStyle w:val="A2"/>
          <w:rFonts w:ascii="Arial" w:hAnsi="Arial" w:cs="Arial"/>
        </w:rPr>
        <w:t xml:space="preserve">SECTION 610 – </w:t>
      </w:r>
      <w:r w:rsidRPr="007A63C6">
        <w:rPr>
          <w:rStyle w:val="A2"/>
          <w:rFonts w:ascii="Arial" w:hAnsi="Arial" w:cs="Arial"/>
        </w:rPr>
        <w:t xml:space="preserve">GABIONS </w:t>
      </w:r>
    </w:p>
    <w:p w14:paraId="51E343EF" w14:textId="5ED3F9FC" w:rsidR="007A63C6" w:rsidRPr="007A63C6" w:rsidRDefault="007A63C6" w:rsidP="007A63C6">
      <w:pPr>
        <w:pStyle w:val="Pa2"/>
        <w:spacing w:after="240"/>
        <w:jc w:val="both"/>
        <w:outlineLvl w:val="1"/>
        <w:rPr>
          <w:rFonts w:ascii="Arial" w:hAnsi="Arial" w:cs="Arial"/>
          <w:sz w:val="20"/>
          <w:szCs w:val="20"/>
        </w:rPr>
      </w:pPr>
      <w:proofErr w:type="gramStart"/>
      <w:r>
        <w:rPr>
          <w:rStyle w:val="A0"/>
          <w:rFonts w:ascii="Arial" w:hAnsi="Arial" w:cs="Arial"/>
          <w:b/>
          <w:bCs/>
          <w:sz w:val="20"/>
          <w:szCs w:val="20"/>
        </w:rPr>
        <w:t>610.01</w:t>
      </w:r>
      <w:proofErr w:type="gramEnd"/>
      <w:r>
        <w:rPr>
          <w:rStyle w:val="A0"/>
          <w:rFonts w:ascii="Arial" w:hAnsi="Arial" w:cs="Arial"/>
          <w:b/>
          <w:bCs/>
          <w:sz w:val="20"/>
          <w:szCs w:val="20"/>
        </w:rPr>
        <w:t xml:space="preserve"> – </w:t>
      </w:r>
      <w:r w:rsidRPr="007A63C6">
        <w:rPr>
          <w:rStyle w:val="A0"/>
          <w:rFonts w:ascii="Arial" w:hAnsi="Arial" w:cs="Arial"/>
          <w:b/>
          <w:bCs/>
          <w:sz w:val="20"/>
          <w:szCs w:val="20"/>
        </w:rPr>
        <w:t xml:space="preserve">Description </w:t>
      </w:r>
    </w:p>
    <w:p w14:paraId="63499234" w14:textId="41106FD9" w:rsidR="007A63C6" w:rsidRDefault="007A63C6" w:rsidP="007A63C6">
      <w:pPr>
        <w:pStyle w:val="Pa2"/>
        <w:spacing w:after="240"/>
        <w:jc w:val="both"/>
        <w:rPr>
          <w:rStyle w:val="A0"/>
          <w:rFonts w:ascii="Arial" w:hAnsi="Arial" w:cs="Arial"/>
          <w:sz w:val="20"/>
          <w:szCs w:val="20"/>
        </w:rPr>
      </w:pPr>
      <w:r w:rsidRPr="007A63C6">
        <w:rPr>
          <w:rStyle w:val="A0"/>
          <w:rFonts w:ascii="Arial" w:hAnsi="Arial" w:cs="Arial"/>
          <w:sz w:val="20"/>
          <w:szCs w:val="20"/>
        </w:rPr>
        <w:t>This work shall consist of furnishing, assembling, and installing gabions in accordance with these Specifications a</w:t>
      </w:r>
      <w:r w:rsidR="0066240D">
        <w:rPr>
          <w:rStyle w:val="A0"/>
          <w:rFonts w:ascii="Arial" w:hAnsi="Arial" w:cs="Arial"/>
          <w:sz w:val="20"/>
          <w:szCs w:val="20"/>
        </w:rPr>
        <w:t>n</w:t>
      </w:r>
      <w:r w:rsidRPr="007A63C6">
        <w:rPr>
          <w:rStyle w:val="A0"/>
          <w:rFonts w:ascii="Arial" w:hAnsi="Arial" w:cs="Arial"/>
          <w:sz w:val="20"/>
          <w:szCs w:val="20"/>
        </w:rPr>
        <w:t>d in conformity to the lines, dimensions, and grades shown on the Plans or as established by the Engineer.</w:t>
      </w:r>
    </w:p>
    <w:p w14:paraId="4701FC67" w14:textId="1DF002A9" w:rsidR="007A63C6" w:rsidRPr="007A63C6" w:rsidRDefault="007A63C6" w:rsidP="007A63C6">
      <w:pPr>
        <w:pStyle w:val="Pa2"/>
        <w:spacing w:after="240"/>
        <w:jc w:val="both"/>
        <w:outlineLvl w:val="1"/>
        <w:rPr>
          <w:rFonts w:ascii="Arial" w:hAnsi="Arial" w:cs="Arial"/>
          <w:sz w:val="20"/>
          <w:szCs w:val="20"/>
        </w:rPr>
      </w:pPr>
      <w:proofErr w:type="gramStart"/>
      <w:r>
        <w:rPr>
          <w:rStyle w:val="A0"/>
          <w:rFonts w:ascii="Arial" w:hAnsi="Arial" w:cs="Arial"/>
          <w:b/>
          <w:bCs/>
          <w:sz w:val="20"/>
          <w:szCs w:val="20"/>
        </w:rPr>
        <w:t>610.02</w:t>
      </w:r>
      <w:proofErr w:type="gramEnd"/>
      <w:r>
        <w:rPr>
          <w:rStyle w:val="A0"/>
          <w:rFonts w:ascii="Arial" w:hAnsi="Arial" w:cs="Arial"/>
          <w:b/>
          <w:bCs/>
          <w:sz w:val="20"/>
          <w:szCs w:val="20"/>
        </w:rPr>
        <w:t xml:space="preserve"> – </w:t>
      </w:r>
      <w:r w:rsidRPr="007A63C6">
        <w:rPr>
          <w:rStyle w:val="A0"/>
          <w:rFonts w:ascii="Arial" w:hAnsi="Arial" w:cs="Arial"/>
          <w:b/>
          <w:bCs/>
          <w:sz w:val="20"/>
          <w:szCs w:val="20"/>
        </w:rPr>
        <w:t xml:space="preserve">Materials </w:t>
      </w:r>
    </w:p>
    <w:p w14:paraId="4FC86F52" w14:textId="77777777" w:rsidR="007A63C6" w:rsidRPr="007A63C6" w:rsidRDefault="007A63C6" w:rsidP="007A63C6">
      <w:pPr>
        <w:pStyle w:val="Pa3"/>
        <w:numPr>
          <w:ilvl w:val="0"/>
          <w:numId w:val="1"/>
        </w:numPr>
        <w:spacing w:after="240"/>
        <w:jc w:val="both"/>
        <w:rPr>
          <w:rStyle w:val="A0"/>
          <w:rFonts w:ascii="Arial" w:hAnsi="Arial" w:cs="Arial"/>
          <w:color w:val="auto"/>
          <w:sz w:val="20"/>
          <w:szCs w:val="20"/>
        </w:rPr>
      </w:pPr>
      <w:r w:rsidRPr="007A63C6">
        <w:rPr>
          <w:rStyle w:val="A0"/>
          <w:rFonts w:ascii="Arial" w:hAnsi="Arial" w:cs="Arial"/>
          <w:b/>
          <w:bCs/>
          <w:sz w:val="20"/>
          <w:szCs w:val="20"/>
        </w:rPr>
        <w:t xml:space="preserve">Gabions </w:t>
      </w:r>
      <w:r w:rsidRPr="007A63C6">
        <w:rPr>
          <w:rStyle w:val="A0"/>
          <w:rFonts w:ascii="Arial" w:hAnsi="Arial" w:cs="Arial"/>
          <w:sz w:val="20"/>
          <w:szCs w:val="20"/>
        </w:rPr>
        <w:t>shall have a uniform horizontal width of at least 36 inches. Their dimensions shall be within ±3 percent of the manufacturer’s stated sizes.</w:t>
      </w:r>
    </w:p>
    <w:p w14:paraId="0568A5A1" w14:textId="77777777" w:rsidR="007A63C6" w:rsidRPr="007A63C6" w:rsidRDefault="007A63C6" w:rsidP="007A63C6">
      <w:pPr>
        <w:pStyle w:val="Pa3"/>
        <w:numPr>
          <w:ilvl w:val="0"/>
          <w:numId w:val="1"/>
        </w:numPr>
        <w:spacing w:after="240"/>
        <w:jc w:val="both"/>
        <w:rPr>
          <w:rStyle w:val="A0"/>
          <w:rFonts w:ascii="Arial" w:hAnsi="Arial" w:cs="Arial"/>
          <w:color w:val="auto"/>
          <w:sz w:val="20"/>
          <w:szCs w:val="20"/>
        </w:rPr>
      </w:pPr>
      <w:r w:rsidRPr="007A63C6">
        <w:rPr>
          <w:rStyle w:val="A0"/>
          <w:rFonts w:ascii="Arial" w:hAnsi="Arial" w:cs="Arial"/>
          <w:b/>
          <w:bCs/>
          <w:sz w:val="20"/>
          <w:szCs w:val="20"/>
        </w:rPr>
        <w:t xml:space="preserve">Wire mesh </w:t>
      </w:r>
      <w:r w:rsidRPr="007A63C6">
        <w:rPr>
          <w:rStyle w:val="A0"/>
          <w:rFonts w:ascii="Arial" w:hAnsi="Arial" w:cs="Arial"/>
          <w:sz w:val="20"/>
          <w:szCs w:val="20"/>
        </w:rPr>
        <w:t>shall conform to Section 223.02(a).</w:t>
      </w:r>
    </w:p>
    <w:p w14:paraId="2FF7EC31" w14:textId="77777777" w:rsidR="007A63C6" w:rsidRPr="007A63C6" w:rsidRDefault="007A63C6" w:rsidP="007A63C6">
      <w:pPr>
        <w:pStyle w:val="Pa3"/>
        <w:numPr>
          <w:ilvl w:val="0"/>
          <w:numId w:val="1"/>
        </w:numPr>
        <w:spacing w:after="240"/>
        <w:jc w:val="both"/>
        <w:rPr>
          <w:rStyle w:val="A0"/>
          <w:rFonts w:ascii="Arial" w:hAnsi="Arial" w:cs="Arial"/>
          <w:color w:val="auto"/>
          <w:sz w:val="20"/>
          <w:szCs w:val="20"/>
        </w:rPr>
      </w:pPr>
      <w:r w:rsidRPr="007A63C6">
        <w:rPr>
          <w:rStyle w:val="A0"/>
          <w:rFonts w:ascii="Arial" w:hAnsi="Arial" w:cs="Arial"/>
          <w:b/>
          <w:bCs/>
          <w:sz w:val="20"/>
          <w:szCs w:val="20"/>
        </w:rPr>
        <w:t xml:space="preserve">Selvedge (or perimeter) wire </w:t>
      </w:r>
      <w:r w:rsidRPr="007A63C6">
        <w:rPr>
          <w:rStyle w:val="A0"/>
          <w:rFonts w:ascii="Arial" w:hAnsi="Arial" w:cs="Arial"/>
          <w:sz w:val="20"/>
          <w:szCs w:val="20"/>
        </w:rPr>
        <w:t>shall be at least 0.148 inch in diameter (9 gage) and shall conform to Section 223.02(a) for wire mesh.</w:t>
      </w:r>
    </w:p>
    <w:p w14:paraId="68B1EF6D" w14:textId="77777777" w:rsidR="007A63C6" w:rsidRPr="007A63C6" w:rsidRDefault="007A63C6" w:rsidP="007A63C6">
      <w:pPr>
        <w:pStyle w:val="Pa3"/>
        <w:numPr>
          <w:ilvl w:val="0"/>
          <w:numId w:val="1"/>
        </w:numPr>
        <w:spacing w:after="240"/>
        <w:jc w:val="both"/>
        <w:rPr>
          <w:rStyle w:val="A0"/>
          <w:rFonts w:ascii="Arial" w:hAnsi="Arial" w:cs="Arial"/>
          <w:color w:val="auto"/>
          <w:sz w:val="20"/>
          <w:szCs w:val="20"/>
        </w:rPr>
      </w:pPr>
      <w:r w:rsidRPr="007A63C6">
        <w:rPr>
          <w:rStyle w:val="A0"/>
          <w:rFonts w:ascii="Arial" w:hAnsi="Arial" w:cs="Arial"/>
          <w:b/>
          <w:bCs/>
          <w:sz w:val="20"/>
          <w:szCs w:val="20"/>
        </w:rPr>
        <w:t xml:space="preserve">Tie and connection wire </w:t>
      </w:r>
      <w:r w:rsidRPr="007A63C6">
        <w:rPr>
          <w:rStyle w:val="A0"/>
          <w:rFonts w:ascii="Arial" w:hAnsi="Arial" w:cs="Arial"/>
          <w:sz w:val="20"/>
          <w:szCs w:val="20"/>
        </w:rPr>
        <w:t>shall conform to the requirements for the wire used in the mesh except that it shall be not more than two gages smaller.</w:t>
      </w:r>
    </w:p>
    <w:p w14:paraId="7DEBD96C" w14:textId="0D3B0D9B" w:rsidR="007A63C6" w:rsidRPr="007A63C6" w:rsidRDefault="007A63C6" w:rsidP="007A63C6">
      <w:pPr>
        <w:pStyle w:val="Pa3"/>
        <w:numPr>
          <w:ilvl w:val="0"/>
          <w:numId w:val="1"/>
        </w:numPr>
        <w:spacing w:after="240"/>
        <w:jc w:val="both"/>
        <w:rPr>
          <w:rFonts w:ascii="Arial" w:hAnsi="Arial" w:cs="Arial"/>
          <w:sz w:val="20"/>
          <w:szCs w:val="20"/>
        </w:rPr>
      </w:pPr>
      <w:r w:rsidRPr="007A63C6">
        <w:rPr>
          <w:rStyle w:val="A0"/>
          <w:rFonts w:ascii="Arial" w:hAnsi="Arial" w:cs="Arial"/>
          <w:b/>
          <w:bCs/>
          <w:sz w:val="20"/>
          <w:szCs w:val="20"/>
        </w:rPr>
        <w:t xml:space="preserve">Gabion stone </w:t>
      </w:r>
      <w:r w:rsidRPr="007A63C6">
        <w:rPr>
          <w:rStyle w:val="A0"/>
          <w:rFonts w:ascii="Arial" w:hAnsi="Arial" w:cs="Arial"/>
          <w:sz w:val="20"/>
          <w:szCs w:val="20"/>
        </w:rPr>
        <w:t xml:space="preserve">shall conform to Section 204. </w:t>
      </w:r>
    </w:p>
    <w:p w14:paraId="5C010FE6" w14:textId="45A7FAE2" w:rsidR="007A63C6" w:rsidRPr="007A63C6" w:rsidRDefault="007A63C6" w:rsidP="007A63C6">
      <w:pPr>
        <w:pStyle w:val="Pa2"/>
        <w:spacing w:after="240"/>
        <w:jc w:val="both"/>
        <w:outlineLvl w:val="1"/>
        <w:rPr>
          <w:rFonts w:ascii="Arial" w:hAnsi="Arial" w:cs="Arial"/>
          <w:sz w:val="20"/>
          <w:szCs w:val="20"/>
        </w:rPr>
      </w:pPr>
      <w:proofErr w:type="gramStart"/>
      <w:r>
        <w:rPr>
          <w:rStyle w:val="A0"/>
          <w:rFonts w:ascii="Arial" w:hAnsi="Arial" w:cs="Arial"/>
          <w:b/>
          <w:bCs/>
          <w:sz w:val="20"/>
          <w:szCs w:val="20"/>
        </w:rPr>
        <w:t>610.03</w:t>
      </w:r>
      <w:proofErr w:type="gramEnd"/>
      <w:r>
        <w:rPr>
          <w:rStyle w:val="A0"/>
          <w:rFonts w:ascii="Arial" w:hAnsi="Arial" w:cs="Arial"/>
          <w:b/>
          <w:bCs/>
          <w:sz w:val="20"/>
          <w:szCs w:val="20"/>
        </w:rPr>
        <w:t xml:space="preserve"> – </w:t>
      </w:r>
      <w:r w:rsidRPr="007A63C6">
        <w:rPr>
          <w:rStyle w:val="A0"/>
          <w:rFonts w:ascii="Arial" w:hAnsi="Arial" w:cs="Arial"/>
          <w:b/>
          <w:bCs/>
          <w:sz w:val="20"/>
          <w:szCs w:val="20"/>
        </w:rPr>
        <w:t xml:space="preserve">Procedures </w:t>
      </w:r>
    </w:p>
    <w:p w14:paraId="2750122C" w14:textId="77777777" w:rsidR="007A63C6" w:rsidRDefault="007A63C6" w:rsidP="007A63C6">
      <w:pPr>
        <w:pStyle w:val="Pa2"/>
        <w:spacing w:after="240"/>
        <w:jc w:val="both"/>
        <w:rPr>
          <w:rStyle w:val="A0"/>
          <w:rFonts w:ascii="Arial" w:hAnsi="Arial" w:cs="Arial"/>
          <w:sz w:val="20"/>
          <w:szCs w:val="20"/>
        </w:rPr>
      </w:pPr>
      <w:r w:rsidRPr="007A63C6">
        <w:rPr>
          <w:rStyle w:val="A0"/>
          <w:rFonts w:ascii="Arial" w:hAnsi="Arial" w:cs="Arial"/>
          <w:sz w:val="20"/>
          <w:szCs w:val="20"/>
        </w:rPr>
        <w:t>Gabions shall be fabricated in such a manner that the sides, ends, lid, and diaphragms can be assembled at the construction site into rectangular wire mesh baskets. Gabions shall be of single unit construction whereby the base, lid, ends, and sides are woven into a single unit or whereby one edge of these units is connected to the base section of the gabion. The strength and flexibility at the point of connection shall be at least equal to those of the wire mesh.</w:t>
      </w:r>
    </w:p>
    <w:p w14:paraId="53CC6F4B" w14:textId="2E9FB8B7" w:rsidR="007A63C6" w:rsidRDefault="007A63C6" w:rsidP="007A63C6">
      <w:pPr>
        <w:pStyle w:val="Pa2"/>
        <w:spacing w:after="240"/>
        <w:jc w:val="both"/>
        <w:rPr>
          <w:rStyle w:val="A0"/>
          <w:rFonts w:ascii="Arial" w:hAnsi="Arial" w:cs="Arial"/>
          <w:sz w:val="20"/>
          <w:szCs w:val="20"/>
        </w:rPr>
      </w:pPr>
      <w:r w:rsidRPr="007A63C6">
        <w:rPr>
          <w:rStyle w:val="A0"/>
          <w:rFonts w:ascii="Arial" w:hAnsi="Arial" w:cs="Arial"/>
          <w:sz w:val="20"/>
          <w:szCs w:val="20"/>
        </w:rPr>
        <w:t>If the length of the gabion exceeds its horizontal width, the gabion shall be equally divided into cells by diaphr</w:t>
      </w:r>
      <w:r w:rsidR="0066240D">
        <w:rPr>
          <w:rStyle w:val="A0"/>
          <w:rFonts w:ascii="Arial" w:hAnsi="Arial" w:cs="Arial"/>
          <w:sz w:val="20"/>
          <w:szCs w:val="20"/>
        </w:rPr>
        <w:t>a</w:t>
      </w:r>
      <w:r w:rsidRPr="007A63C6">
        <w:rPr>
          <w:rStyle w:val="A0"/>
          <w:rFonts w:ascii="Arial" w:hAnsi="Arial" w:cs="Arial"/>
          <w:sz w:val="20"/>
          <w:szCs w:val="20"/>
        </w:rPr>
        <w:t>gms of the same mesh and gage as the body of the gabion. The length of each cell shall not exceed its width. The gabion shall be furnished with the necessary diaphragms securely tied in their proper positions on the base so that no additional tying at the junction will be necessary.</w:t>
      </w:r>
    </w:p>
    <w:p w14:paraId="5F363FA2" w14:textId="77777777" w:rsidR="007A63C6" w:rsidRDefault="007A63C6" w:rsidP="007A63C6">
      <w:pPr>
        <w:pStyle w:val="Pa2"/>
        <w:spacing w:after="240"/>
        <w:jc w:val="both"/>
        <w:rPr>
          <w:rStyle w:val="A0"/>
          <w:rFonts w:ascii="Arial" w:hAnsi="Arial" w:cs="Arial"/>
          <w:sz w:val="20"/>
          <w:szCs w:val="20"/>
        </w:rPr>
      </w:pPr>
      <w:r w:rsidRPr="007A63C6">
        <w:rPr>
          <w:rStyle w:val="A0"/>
          <w:rFonts w:ascii="Arial" w:hAnsi="Arial" w:cs="Arial"/>
          <w:sz w:val="20"/>
          <w:szCs w:val="20"/>
        </w:rPr>
        <w:t xml:space="preserve">Perimeter edges of the mesh forming the gabion shall be securely clip bound or </w:t>
      </w:r>
      <w:proofErr w:type="spellStart"/>
      <w:r w:rsidRPr="007A63C6">
        <w:rPr>
          <w:rStyle w:val="A0"/>
          <w:rFonts w:ascii="Arial" w:hAnsi="Arial" w:cs="Arial"/>
          <w:sz w:val="20"/>
          <w:szCs w:val="20"/>
        </w:rPr>
        <w:t>selvedged</w:t>
      </w:r>
      <w:proofErr w:type="spellEnd"/>
      <w:r w:rsidRPr="007A63C6">
        <w:rPr>
          <w:rStyle w:val="A0"/>
          <w:rFonts w:ascii="Arial" w:hAnsi="Arial" w:cs="Arial"/>
          <w:sz w:val="20"/>
          <w:szCs w:val="20"/>
        </w:rPr>
        <w:t xml:space="preserve"> in such a manner that the joints formed by tying the selvedges will have at least the same strength, durability, and integrity as the body of the mesh.</w:t>
      </w:r>
    </w:p>
    <w:p w14:paraId="09EAB5AC" w14:textId="77777777" w:rsidR="007A63C6" w:rsidRDefault="007A63C6" w:rsidP="007A63C6">
      <w:pPr>
        <w:pStyle w:val="Pa2"/>
        <w:spacing w:after="240"/>
        <w:jc w:val="both"/>
        <w:rPr>
          <w:rStyle w:val="A0"/>
          <w:rFonts w:ascii="Arial" w:hAnsi="Arial" w:cs="Arial"/>
          <w:sz w:val="20"/>
          <w:szCs w:val="20"/>
        </w:rPr>
      </w:pPr>
      <w:r w:rsidRPr="007A63C6">
        <w:rPr>
          <w:rStyle w:val="A0"/>
          <w:rFonts w:ascii="Arial" w:hAnsi="Arial" w:cs="Arial"/>
          <w:sz w:val="20"/>
          <w:szCs w:val="20"/>
        </w:rPr>
        <w:t xml:space="preserve">The Contractor shall supply tie and connection wire in sufficient quantity </w:t>
      </w:r>
      <w:proofErr w:type="gramStart"/>
      <w:r w:rsidRPr="007A63C6">
        <w:rPr>
          <w:rStyle w:val="A0"/>
          <w:rFonts w:ascii="Arial" w:hAnsi="Arial" w:cs="Arial"/>
          <w:sz w:val="20"/>
          <w:szCs w:val="20"/>
        </w:rPr>
        <w:t>to securely fasten</w:t>
      </w:r>
      <w:proofErr w:type="gramEnd"/>
      <w:r w:rsidRPr="007A63C6">
        <w:rPr>
          <w:rStyle w:val="A0"/>
          <w:rFonts w:ascii="Arial" w:hAnsi="Arial" w:cs="Arial"/>
          <w:sz w:val="20"/>
          <w:szCs w:val="20"/>
        </w:rPr>
        <w:t xml:space="preserve"> all edges of the gabion and diaphragms. At least two </w:t>
      </w:r>
      <w:proofErr w:type="gramStart"/>
      <w:r w:rsidRPr="007A63C6">
        <w:rPr>
          <w:rStyle w:val="A0"/>
          <w:rFonts w:ascii="Arial" w:hAnsi="Arial" w:cs="Arial"/>
          <w:sz w:val="20"/>
          <w:szCs w:val="20"/>
        </w:rPr>
        <w:t>cross connecting</w:t>
      </w:r>
      <w:proofErr w:type="gramEnd"/>
      <w:r w:rsidRPr="007A63C6">
        <w:rPr>
          <w:rStyle w:val="A0"/>
          <w:rFonts w:ascii="Arial" w:hAnsi="Arial" w:cs="Arial"/>
          <w:sz w:val="20"/>
          <w:szCs w:val="20"/>
        </w:rPr>
        <w:t xml:space="preserve"> wires shall be in each cell whose height is one-third or one-half the width of the gabion. At least four cross-connecting wires shall be in each cell whose height equals the width of the gabion. The wire shall be secured through two open loops of the cage.</w:t>
      </w:r>
    </w:p>
    <w:p w14:paraId="5B8F1D01" w14:textId="407E1900" w:rsidR="007A63C6" w:rsidRDefault="007A63C6" w:rsidP="007A63C6">
      <w:pPr>
        <w:pStyle w:val="Pa2"/>
        <w:spacing w:after="240"/>
        <w:jc w:val="both"/>
        <w:rPr>
          <w:rStyle w:val="A0"/>
          <w:rFonts w:ascii="Arial" w:hAnsi="Arial" w:cs="Arial"/>
          <w:sz w:val="20"/>
          <w:szCs w:val="20"/>
        </w:rPr>
      </w:pPr>
      <w:r w:rsidRPr="007A63C6">
        <w:rPr>
          <w:rStyle w:val="A0"/>
          <w:rFonts w:ascii="Arial" w:hAnsi="Arial" w:cs="Arial"/>
          <w:sz w:val="20"/>
          <w:szCs w:val="20"/>
        </w:rPr>
        <w:t>The C</w:t>
      </w:r>
      <w:r w:rsidR="0066240D">
        <w:rPr>
          <w:rStyle w:val="A0"/>
          <w:rFonts w:ascii="Arial" w:hAnsi="Arial" w:cs="Arial"/>
          <w:sz w:val="20"/>
          <w:szCs w:val="20"/>
        </w:rPr>
        <w:t>o</w:t>
      </w:r>
      <w:r w:rsidRPr="007A63C6">
        <w:rPr>
          <w:rStyle w:val="A0"/>
          <w:rFonts w:ascii="Arial" w:hAnsi="Arial" w:cs="Arial"/>
          <w:sz w:val="20"/>
          <w:szCs w:val="20"/>
        </w:rPr>
        <w:t>ntractor shall perform excavating and backfilling operations for the installation of gabions according to Section 303. Gabions shall be placed on a smooth foundation, and the final line and grade shall be approved by the Engineer.</w:t>
      </w:r>
    </w:p>
    <w:p w14:paraId="43C1245D" w14:textId="4091EAA5" w:rsidR="007A63C6" w:rsidRDefault="007A63C6" w:rsidP="007A63C6">
      <w:pPr>
        <w:pStyle w:val="Pa2"/>
        <w:spacing w:after="240"/>
        <w:jc w:val="both"/>
        <w:rPr>
          <w:rStyle w:val="A0"/>
          <w:rFonts w:ascii="Arial" w:hAnsi="Arial" w:cs="Arial"/>
          <w:sz w:val="20"/>
          <w:szCs w:val="20"/>
        </w:rPr>
      </w:pPr>
      <w:r w:rsidRPr="007A63C6">
        <w:rPr>
          <w:rStyle w:val="A0"/>
          <w:rFonts w:ascii="Arial" w:hAnsi="Arial" w:cs="Arial"/>
          <w:sz w:val="20"/>
          <w:szCs w:val="20"/>
        </w:rPr>
        <w:t xml:space="preserve">Each gabion unit shall be assembled by binding the vertical edges with wire ties at approximately </w:t>
      </w:r>
      <w:proofErr w:type="gramStart"/>
      <w:r w:rsidRPr="007A63C6">
        <w:rPr>
          <w:rStyle w:val="A0"/>
          <w:rFonts w:ascii="Arial" w:hAnsi="Arial" w:cs="Arial"/>
          <w:sz w:val="20"/>
          <w:szCs w:val="20"/>
        </w:rPr>
        <w:t>6 inch</w:t>
      </w:r>
      <w:proofErr w:type="gramEnd"/>
      <w:r w:rsidRPr="007A63C6">
        <w:rPr>
          <w:rStyle w:val="A0"/>
          <w:rFonts w:ascii="Arial" w:hAnsi="Arial" w:cs="Arial"/>
          <w:sz w:val="20"/>
          <w:szCs w:val="20"/>
        </w:rPr>
        <w:t xml:space="preserve"> intervals or by stitching a continuous piece of connecting wire around the vertical edges with a coil approximately every 4 inches. Wire ties or connecting wire shall be used to join units in the same manner </w:t>
      </w:r>
      <w:r w:rsidRPr="007A63C6">
        <w:rPr>
          <w:rStyle w:val="A0"/>
          <w:rFonts w:ascii="Arial" w:hAnsi="Arial" w:cs="Arial"/>
          <w:sz w:val="20"/>
          <w:szCs w:val="20"/>
        </w:rPr>
        <w:lastRenderedPageBreak/>
        <w:t>as described for assembling. Internal tie wires shall be uniformly spaced and securely fastened in each cell of the structure.</w:t>
      </w:r>
    </w:p>
    <w:p w14:paraId="77C94798" w14:textId="77777777" w:rsidR="007A63C6" w:rsidRDefault="007A63C6" w:rsidP="007A63C6">
      <w:pPr>
        <w:pStyle w:val="Pa2"/>
        <w:spacing w:after="240"/>
        <w:jc w:val="both"/>
        <w:rPr>
          <w:rStyle w:val="A0"/>
          <w:rFonts w:ascii="Arial" w:hAnsi="Arial" w:cs="Arial"/>
          <w:sz w:val="20"/>
          <w:szCs w:val="20"/>
        </w:rPr>
      </w:pPr>
      <w:r w:rsidRPr="007A63C6">
        <w:rPr>
          <w:rStyle w:val="A0"/>
          <w:rFonts w:ascii="Arial" w:hAnsi="Arial" w:cs="Arial"/>
          <w:sz w:val="20"/>
          <w:szCs w:val="20"/>
        </w:rPr>
        <w:t>The Contractor may use a standard fence stretcher, chain fall, or iron rod to stretch wire baskets and hold the installation alignment.</w:t>
      </w:r>
    </w:p>
    <w:p w14:paraId="79EC398D" w14:textId="38E38705" w:rsidR="007A63C6" w:rsidRDefault="007A63C6" w:rsidP="007A63C6">
      <w:pPr>
        <w:pStyle w:val="Pa2"/>
        <w:spacing w:after="240"/>
        <w:jc w:val="both"/>
        <w:rPr>
          <w:rStyle w:val="A0"/>
          <w:rFonts w:ascii="Arial" w:hAnsi="Arial" w:cs="Arial"/>
          <w:sz w:val="20"/>
          <w:szCs w:val="20"/>
        </w:rPr>
      </w:pPr>
      <w:r w:rsidRPr="007A63C6">
        <w:rPr>
          <w:rStyle w:val="A0"/>
          <w:rFonts w:ascii="Arial" w:hAnsi="Arial" w:cs="Arial"/>
          <w:sz w:val="20"/>
          <w:szCs w:val="20"/>
        </w:rPr>
        <w:t>The Cont</w:t>
      </w:r>
      <w:r w:rsidR="0066240D">
        <w:rPr>
          <w:rStyle w:val="A0"/>
          <w:rFonts w:ascii="Arial" w:hAnsi="Arial" w:cs="Arial"/>
          <w:sz w:val="20"/>
          <w:szCs w:val="20"/>
        </w:rPr>
        <w:t>r</w:t>
      </w:r>
      <w:r w:rsidRPr="007A63C6">
        <w:rPr>
          <w:rStyle w:val="A0"/>
          <w:rFonts w:ascii="Arial" w:hAnsi="Arial" w:cs="Arial"/>
          <w:sz w:val="20"/>
          <w:szCs w:val="20"/>
        </w:rPr>
        <w:t>actor shall fill gabions with stone so that the finished basket maintains alignment, has a mini</w:t>
      </w:r>
      <w:bookmarkStart w:id="0" w:name="_GoBack"/>
      <w:bookmarkEnd w:id="0"/>
      <w:r w:rsidRPr="007A63C6">
        <w:rPr>
          <w:rStyle w:val="A0"/>
          <w:rFonts w:ascii="Arial" w:hAnsi="Arial" w:cs="Arial"/>
          <w:sz w:val="20"/>
          <w:szCs w:val="20"/>
        </w:rPr>
        <w:t>mum of voids, and avoid bulges. Rock and connection wires shall be alternately placed until the gabion is filled. After the gabion is filled, the lid shall be bent over until it meets the sides and edges of the gabion. The Contractor shall then secure the lid to the sides, ends, and diaphragms with wire ties or connecting wire in the manner described hereinbefore.</w:t>
      </w:r>
    </w:p>
    <w:p w14:paraId="20B0BB64" w14:textId="45612800" w:rsidR="007A63C6" w:rsidRDefault="007A63C6" w:rsidP="007A63C6">
      <w:pPr>
        <w:pStyle w:val="Pa2"/>
        <w:spacing w:after="240"/>
        <w:jc w:val="both"/>
        <w:outlineLvl w:val="1"/>
        <w:rPr>
          <w:rStyle w:val="A0"/>
          <w:rFonts w:ascii="Arial" w:hAnsi="Arial" w:cs="Arial"/>
          <w:b/>
          <w:bCs/>
          <w:sz w:val="20"/>
          <w:szCs w:val="20"/>
        </w:rPr>
      </w:pPr>
      <w:proofErr w:type="gramStart"/>
      <w:r>
        <w:rPr>
          <w:rStyle w:val="A0"/>
          <w:rFonts w:ascii="Arial" w:hAnsi="Arial" w:cs="Arial"/>
          <w:b/>
          <w:bCs/>
          <w:sz w:val="20"/>
          <w:szCs w:val="20"/>
        </w:rPr>
        <w:t>610.04</w:t>
      </w:r>
      <w:proofErr w:type="gramEnd"/>
      <w:r>
        <w:rPr>
          <w:rStyle w:val="A0"/>
          <w:rFonts w:ascii="Arial" w:hAnsi="Arial" w:cs="Arial"/>
          <w:b/>
          <w:bCs/>
          <w:sz w:val="20"/>
          <w:szCs w:val="20"/>
        </w:rPr>
        <w:t xml:space="preserve"> – </w:t>
      </w:r>
      <w:r w:rsidRPr="007A63C6">
        <w:rPr>
          <w:rStyle w:val="A0"/>
          <w:rFonts w:ascii="Arial" w:hAnsi="Arial" w:cs="Arial"/>
          <w:b/>
          <w:bCs/>
          <w:sz w:val="20"/>
          <w:szCs w:val="20"/>
        </w:rPr>
        <w:t>Measurement and Payment</w:t>
      </w:r>
    </w:p>
    <w:p w14:paraId="0D2F588A" w14:textId="77777777" w:rsidR="007A63C6" w:rsidRDefault="007A63C6" w:rsidP="007A63C6">
      <w:pPr>
        <w:pStyle w:val="Pa2"/>
        <w:spacing w:after="240"/>
        <w:jc w:val="both"/>
        <w:rPr>
          <w:rStyle w:val="A0"/>
          <w:rFonts w:ascii="Arial" w:hAnsi="Arial" w:cs="Arial"/>
          <w:sz w:val="20"/>
          <w:szCs w:val="20"/>
        </w:rPr>
      </w:pPr>
      <w:r w:rsidRPr="007A63C6">
        <w:rPr>
          <w:rStyle w:val="A0"/>
          <w:rFonts w:ascii="Arial" w:hAnsi="Arial" w:cs="Arial"/>
          <w:b/>
          <w:bCs/>
          <w:sz w:val="20"/>
          <w:szCs w:val="20"/>
        </w:rPr>
        <w:t xml:space="preserve">Gabions </w:t>
      </w:r>
      <w:r w:rsidRPr="007A63C6">
        <w:rPr>
          <w:rStyle w:val="A0"/>
          <w:rFonts w:ascii="Arial" w:hAnsi="Arial" w:cs="Arial"/>
          <w:sz w:val="20"/>
          <w:szCs w:val="20"/>
        </w:rPr>
        <w:t xml:space="preserve">will be measured in cubic yards and will be paid for at the Contract unit price per cubic yard. This price shall include furnishing, assembling, excavating, </w:t>
      </w:r>
      <w:proofErr w:type="gramStart"/>
      <w:r w:rsidRPr="007A63C6">
        <w:rPr>
          <w:rStyle w:val="A0"/>
          <w:rFonts w:ascii="Arial" w:hAnsi="Arial" w:cs="Arial"/>
          <w:sz w:val="20"/>
          <w:szCs w:val="20"/>
        </w:rPr>
        <w:t>installing</w:t>
      </w:r>
      <w:proofErr w:type="gramEnd"/>
      <w:r w:rsidRPr="007A63C6">
        <w:rPr>
          <w:rStyle w:val="A0"/>
          <w:rFonts w:ascii="Arial" w:hAnsi="Arial" w:cs="Arial"/>
          <w:sz w:val="20"/>
          <w:szCs w:val="20"/>
        </w:rPr>
        <w:t xml:space="preserve"> and backfilling with suitable material, compacting, and disposing of surplus or unsuitable material.</w:t>
      </w:r>
    </w:p>
    <w:p w14:paraId="174E83B0" w14:textId="77777777" w:rsidR="007A63C6" w:rsidRDefault="007A63C6" w:rsidP="007A63C6">
      <w:pPr>
        <w:pStyle w:val="Pa2"/>
        <w:spacing w:after="240"/>
        <w:jc w:val="both"/>
        <w:rPr>
          <w:rStyle w:val="A0"/>
          <w:rFonts w:ascii="Arial" w:hAnsi="Arial" w:cs="Arial"/>
          <w:sz w:val="20"/>
          <w:szCs w:val="20"/>
        </w:rPr>
      </w:pPr>
      <w:r w:rsidRPr="007A63C6">
        <w:rPr>
          <w:rStyle w:val="A0"/>
          <w:rFonts w:ascii="Arial" w:hAnsi="Arial" w:cs="Arial"/>
          <w:b/>
          <w:bCs/>
          <w:sz w:val="20"/>
          <w:szCs w:val="20"/>
        </w:rPr>
        <w:t xml:space="preserve">Minor structure excavation for gabions, </w:t>
      </w:r>
      <w:r w:rsidRPr="007A63C6">
        <w:rPr>
          <w:rStyle w:val="A0"/>
          <w:rFonts w:ascii="Arial" w:hAnsi="Arial" w:cs="Arial"/>
          <w:sz w:val="20"/>
          <w:szCs w:val="20"/>
        </w:rPr>
        <w:t>when specified on the Plans, will be measured and paid for in accordance with Section 303.</w:t>
      </w:r>
    </w:p>
    <w:p w14:paraId="0871FA14" w14:textId="460C2FB7" w:rsidR="007A63C6" w:rsidRDefault="007A63C6" w:rsidP="007A63C6">
      <w:pPr>
        <w:pStyle w:val="Pa2"/>
        <w:spacing w:after="240"/>
        <w:jc w:val="both"/>
        <w:rPr>
          <w:rStyle w:val="A0"/>
          <w:rFonts w:ascii="Arial" w:hAnsi="Arial" w:cs="Arial"/>
          <w:sz w:val="20"/>
          <w:szCs w:val="20"/>
        </w:rPr>
      </w:pPr>
      <w:r w:rsidRPr="007A63C6">
        <w:rPr>
          <w:rStyle w:val="A0"/>
          <w:rFonts w:ascii="Arial" w:hAnsi="Arial" w:cs="Arial"/>
          <w:sz w:val="20"/>
          <w:szCs w:val="20"/>
        </w:rPr>
        <w:t>Payment will be made under:</w:t>
      </w:r>
    </w:p>
    <w:tbl>
      <w:tblPr>
        <w:tblStyle w:val="TableGrid"/>
        <w:tblW w:w="0" w:type="auto"/>
        <w:tblInd w:w="198" w:type="dxa"/>
        <w:tblBorders>
          <w:left w:val="none" w:sz="0" w:space="0" w:color="auto"/>
          <w:right w:val="none" w:sz="0" w:space="0" w:color="auto"/>
          <w:insideV w:val="none" w:sz="0" w:space="0" w:color="auto"/>
        </w:tblBorders>
        <w:tblLook w:val="04A0" w:firstRow="1" w:lastRow="0" w:firstColumn="1" w:lastColumn="0" w:noHBand="0" w:noVBand="1"/>
      </w:tblPr>
      <w:tblGrid>
        <w:gridCol w:w="1800"/>
        <w:gridCol w:w="1890"/>
      </w:tblGrid>
      <w:tr w:rsidR="007A63C6" w14:paraId="62CDFC2D" w14:textId="77777777" w:rsidTr="007A63C6">
        <w:tc>
          <w:tcPr>
            <w:tcW w:w="1800" w:type="dxa"/>
          </w:tcPr>
          <w:p w14:paraId="66D0BF35" w14:textId="493E97E0" w:rsidR="007A63C6" w:rsidRDefault="007A63C6" w:rsidP="007A63C6">
            <w:pPr>
              <w:pStyle w:val="Default"/>
            </w:pPr>
            <w:r w:rsidRPr="007A63C6">
              <w:rPr>
                <w:rStyle w:val="A0"/>
                <w:rFonts w:ascii="Arial" w:hAnsi="Arial" w:cs="Arial"/>
                <w:b/>
                <w:bCs/>
                <w:color w:val="auto"/>
                <w:sz w:val="20"/>
                <w:szCs w:val="20"/>
              </w:rPr>
              <w:t>Pay Item</w:t>
            </w:r>
          </w:p>
        </w:tc>
        <w:tc>
          <w:tcPr>
            <w:tcW w:w="1890" w:type="dxa"/>
          </w:tcPr>
          <w:p w14:paraId="71444312" w14:textId="616CA95B" w:rsidR="007A63C6" w:rsidRDefault="007A63C6" w:rsidP="007A63C6">
            <w:pPr>
              <w:pStyle w:val="Default"/>
            </w:pPr>
            <w:r w:rsidRPr="007A63C6">
              <w:rPr>
                <w:rStyle w:val="A0"/>
                <w:rFonts w:ascii="Arial" w:hAnsi="Arial" w:cs="Arial"/>
                <w:b/>
                <w:bCs/>
                <w:color w:val="auto"/>
                <w:sz w:val="20"/>
                <w:szCs w:val="20"/>
              </w:rPr>
              <w:t>Pay Unit</w:t>
            </w:r>
          </w:p>
        </w:tc>
      </w:tr>
      <w:tr w:rsidR="007A63C6" w14:paraId="5675279C" w14:textId="77777777" w:rsidTr="007A63C6">
        <w:tc>
          <w:tcPr>
            <w:tcW w:w="1800" w:type="dxa"/>
          </w:tcPr>
          <w:p w14:paraId="1350471B" w14:textId="17661576" w:rsidR="007A63C6" w:rsidRDefault="007A63C6" w:rsidP="007A63C6">
            <w:pPr>
              <w:pStyle w:val="Default"/>
            </w:pPr>
            <w:r w:rsidRPr="007A63C6">
              <w:rPr>
                <w:rStyle w:val="A0"/>
                <w:rFonts w:ascii="Arial" w:hAnsi="Arial" w:cs="Arial"/>
                <w:color w:val="auto"/>
                <w:sz w:val="20"/>
                <w:szCs w:val="20"/>
              </w:rPr>
              <w:t>Gabion</w:t>
            </w:r>
          </w:p>
        </w:tc>
        <w:tc>
          <w:tcPr>
            <w:tcW w:w="1890" w:type="dxa"/>
          </w:tcPr>
          <w:p w14:paraId="09C49AD9" w14:textId="20A9EBA4" w:rsidR="007A63C6" w:rsidRDefault="007A63C6" w:rsidP="007A63C6">
            <w:pPr>
              <w:pStyle w:val="Default"/>
            </w:pPr>
            <w:r w:rsidRPr="007A63C6">
              <w:rPr>
                <w:rStyle w:val="A0"/>
                <w:rFonts w:ascii="Arial" w:hAnsi="Arial" w:cs="Arial"/>
                <w:color w:val="auto"/>
                <w:sz w:val="20"/>
                <w:szCs w:val="20"/>
              </w:rPr>
              <w:t>Cubic yard</w:t>
            </w:r>
          </w:p>
        </w:tc>
      </w:tr>
    </w:tbl>
    <w:p w14:paraId="5731C776" w14:textId="31C1B56A" w:rsidR="006E6BD8" w:rsidRPr="007A63C6" w:rsidRDefault="006E6BD8" w:rsidP="007A63C6">
      <w:pPr>
        <w:pStyle w:val="Default"/>
        <w:rPr>
          <w:rFonts w:ascii="Arial" w:hAnsi="Arial" w:cs="Arial"/>
          <w:sz w:val="20"/>
          <w:szCs w:val="20"/>
        </w:rPr>
      </w:pPr>
    </w:p>
    <w:sectPr w:rsidR="006E6BD8" w:rsidRPr="007A63C6" w:rsidSect="00787161">
      <w:headerReference w:type="default" r:id="rId11"/>
      <w:footerReference w:type="even" r:id="rId12"/>
      <w:footerReference w:type="defaul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3375DC" w14:textId="77777777" w:rsidR="0073700D" w:rsidRDefault="0073700D">
      <w:r>
        <w:separator/>
      </w:r>
    </w:p>
  </w:endnote>
  <w:endnote w:type="continuationSeparator" w:id="0">
    <w:p w14:paraId="2F83FABD" w14:textId="77777777" w:rsidR="0073700D" w:rsidRDefault="0073700D">
      <w:r>
        <w:continuationSeparator/>
      </w:r>
    </w:p>
  </w:endnote>
  <w:endnote w:type="continuationNotice" w:id="1">
    <w:p w14:paraId="55E5F32D" w14:textId="77777777" w:rsidR="0073700D" w:rsidRDefault="00737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CF860" w14:textId="77777777" w:rsidR="00EC4F26" w:rsidRDefault="00EC4F2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5016F63" w14:textId="77777777" w:rsidR="00EC4F26" w:rsidRDefault="00EC4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F6CA3" w14:textId="391D146D" w:rsidR="00EC4F26" w:rsidRDefault="00EC4F26" w:rsidP="00533AE7">
    <w:pPr>
      <w:pStyle w:val="Footer"/>
      <w:jc w:val="center"/>
    </w:pPr>
    <w:r>
      <w:t xml:space="preserve">610 - </w:t>
    </w:r>
    <w:r>
      <w:rPr>
        <w:rStyle w:val="PageNumber"/>
      </w:rPr>
      <w:fldChar w:fldCharType="begin"/>
    </w:r>
    <w:r>
      <w:rPr>
        <w:rStyle w:val="PageNumber"/>
      </w:rPr>
      <w:instrText xml:space="preserve"> PAGE </w:instrText>
    </w:r>
    <w:r>
      <w:rPr>
        <w:rStyle w:val="PageNumber"/>
      </w:rPr>
      <w:fldChar w:fldCharType="separate"/>
    </w:r>
    <w:r w:rsidR="00DA17A2">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9CC7FF" w14:textId="77777777" w:rsidR="0073700D" w:rsidRDefault="0073700D">
      <w:r>
        <w:separator/>
      </w:r>
    </w:p>
  </w:footnote>
  <w:footnote w:type="continuationSeparator" w:id="0">
    <w:p w14:paraId="5CE02613" w14:textId="77777777" w:rsidR="0073700D" w:rsidRDefault="0073700D">
      <w:r>
        <w:continuationSeparator/>
      </w:r>
    </w:p>
  </w:footnote>
  <w:footnote w:type="continuationNotice" w:id="1">
    <w:p w14:paraId="095A07E9" w14:textId="77777777" w:rsidR="0073700D" w:rsidRDefault="0073700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F365B" w14:textId="77777777" w:rsidR="0066240D" w:rsidRDefault="006624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34065C"/>
    <w:multiLevelType w:val="multilevel"/>
    <w:tmpl w:val="BFBAE8FA"/>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49"/>
    <w:rsid w:val="00033883"/>
    <w:rsid w:val="00043624"/>
    <w:rsid w:val="0005647F"/>
    <w:rsid w:val="00080EB0"/>
    <w:rsid w:val="00083603"/>
    <w:rsid w:val="00086FFF"/>
    <w:rsid w:val="00092FEE"/>
    <w:rsid w:val="000A2EE1"/>
    <w:rsid w:val="000A3B7A"/>
    <w:rsid w:val="000B1583"/>
    <w:rsid w:val="000C2BB7"/>
    <w:rsid w:val="000D6A5F"/>
    <w:rsid w:val="00104114"/>
    <w:rsid w:val="001140A1"/>
    <w:rsid w:val="0013272C"/>
    <w:rsid w:val="00137136"/>
    <w:rsid w:val="00140535"/>
    <w:rsid w:val="001455AC"/>
    <w:rsid w:val="00146575"/>
    <w:rsid w:val="00172969"/>
    <w:rsid w:val="00173606"/>
    <w:rsid w:val="001747BB"/>
    <w:rsid w:val="00187E50"/>
    <w:rsid w:val="001A0DC3"/>
    <w:rsid w:val="001A5703"/>
    <w:rsid w:val="001B2183"/>
    <w:rsid w:val="001C75AE"/>
    <w:rsid w:val="00224AC9"/>
    <w:rsid w:val="00252C4C"/>
    <w:rsid w:val="00263AF2"/>
    <w:rsid w:val="00273B86"/>
    <w:rsid w:val="00282900"/>
    <w:rsid w:val="002965B2"/>
    <w:rsid w:val="002A43BA"/>
    <w:rsid w:val="002A7097"/>
    <w:rsid w:val="002B2F69"/>
    <w:rsid w:val="002C621F"/>
    <w:rsid w:val="003029F9"/>
    <w:rsid w:val="00323B0B"/>
    <w:rsid w:val="0032427B"/>
    <w:rsid w:val="00364E81"/>
    <w:rsid w:val="00375906"/>
    <w:rsid w:val="00380101"/>
    <w:rsid w:val="003806A1"/>
    <w:rsid w:val="003C3E13"/>
    <w:rsid w:val="003C7B8E"/>
    <w:rsid w:val="003D2DD4"/>
    <w:rsid w:val="003F01E1"/>
    <w:rsid w:val="00425AD1"/>
    <w:rsid w:val="00431F1A"/>
    <w:rsid w:val="00434516"/>
    <w:rsid w:val="00440F9A"/>
    <w:rsid w:val="004454EB"/>
    <w:rsid w:val="00462468"/>
    <w:rsid w:val="00463E5C"/>
    <w:rsid w:val="004829C7"/>
    <w:rsid w:val="00495D23"/>
    <w:rsid w:val="004A1036"/>
    <w:rsid w:val="004D00A7"/>
    <w:rsid w:val="004E1373"/>
    <w:rsid w:val="005159F3"/>
    <w:rsid w:val="00533AE7"/>
    <w:rsid w:val="00540B5C"/>
    <w:rsid w:val="00567604"/>
    <w:rsid w:val="005E1505"/>
    <w:rsid w:val="005E53AF"/>
    <w:rsid w:val="00600111"/>
    <w:rsid w:val="006045F6"/>
    <w:rsid w:val="00621AF4"/>
    <w:rsid w:val="0062232A"/>
    <w:rsid w:val="00627CB7"/>
    <w:rsid w:val="0063510D"/>
    <w:rsid w:val="00636706"/>
    <w:rsid w:val="0064304C"/>
    <w:rsid w:val="00644A34"/>
    <w:rsid w:val="0066240D"/>
    <w:rsid w:val="00665E89"/>
    <w:rsid w:val="00673B81"/>
    <w:rsid w:val="006A321A"/>
    <w:rsid w:val="006B4597"/>
    <w:rsid w:val="006E6BD8"/>
    <w:rsid w:val="006F52B6"/>
    <w:rsid w:val="007304EB"/>
    <w:rsid w:val="0073700D"/>
    <w:rsid w:val="0074398E"/>
    <w:rsid w:val="00750D38"/>
    <w:rsid w:val="007622BF"/>
    <w:rsid w:val="00785619"/>
    <w:rsid w:val="00787161"/>
    <w:rsid w:val="007A63C6"/>
    <w:rsid w:val="007C6FB3"/>
    <w:rsid w:val="007D00D6"/>
    <w:rsid w:val="007D033E"/>
    <w:rsid w:val="007E685E"/>
    <w:rsid w:val="007F753D"/>
    <w:rsid w:val="007F7DDB"/>
    <w:rsid w:val="00815CA3"/>
    <w:rsid w:val="008252AC"/>
    <w:rsid w:val="00840274"/>
    <w:rsid w:val="008524B7"/>
    <w:rsid w:val="008706D3"/>
    <w:rsid w:val="008731FE"/>
    <w:rsid w:val="0089201C"/>
    <w:rsid w:val="0089475A"/>
    <w:rsid w:val="008953D9"/>
    <w:rsid w:val="008B2707"/>
    <w:rsid w:val="008B7B9B"/>
    <w:rsid w:val="008C710F"/>
    <w:rsid w:val="008E2063"/>
    <w:rsid w:val="008E52B8"/>
    <w:rsid w:val="00906E09"/>
    <w:rsid w:val="00912E74"/>
    <w:rsid w:val="009362FF"/>
    <w:rsid w:val="0095452F"/>
    <w:rsid w:val="00954B3A"/>
    <w:rsid w:val="0096378C"/>
    <w:rsid w:val="00981DD7"/>
    <w:rsid w:val="00987EF1"/>
    <w:rsid w:val="009928E6"/>
    <w:rsid w:val="009A79BC"/>
    <w:rsid w:val="009C1BDC"/>
    <w:rsid w:val="009D0E74"/>
    <w:rsid w:val="009D7F49"/>
    <w:rsid w:val="009E5CA6"/>
    <w:rsid w:val="009F392B"/>
    <w:rsid w:val="009F4134"/>
    <w:rsid w:val="00A02660"/>
    <w:rsid w:val="00A03B90"/>
    <w:rsid w:val="00A50D4E"/>
    <w:rsid w:val="00A53DC4"/>
    <w:rsid w:val="00A54C63"/>
    <w:rsid w:val="00A61AA3"/>
    <w:rsid w:val="00A63EB3"/>
    <w:rsid w:val="00A720F9"/>
    <w:rsid w:val="00AB63FD"/>
    <w:rsid w:val="00AF0387"/>
    <w:rsid w:val="00B07ABE"/>
    <w:rsid w:val="00B16F03"/>
    <w:rsid w:val="00B31819"/>
    <w:rsid w:val="00B33FCB"/>
    <w:rsid w:val="00B525D5"/>
    <w:rsid w:val="00B66601"/>
    <w:rsid w:val="00B704DA"/>
    <w:rsid w:val="00B85572"/>
    <w:rsid w:val="00BA34E3"/>
    <w:rsid w:val="00BF0974"/>
    <w:rsid w:val="00C11E49"/>
    <w:rsid w:val="00C203A7"/>
    <w:rsid w:val="00C24A64"/>
    <w:rsid w:val="00C26410"/>
    <w:rsid w:val="00C379EC"/>
    <w:rsid w:val="00C45422"/>
    <w:rsid w:val="00C55E2B"/>
    <w:rsid w:val="00C64DD9"/>
    <w:rsid w:val="00CA37C3"/>
    <w:rsid w:val="00CA6392"/>
    <w:rsid w:val="00CB273E"/>
    <w:rsid w:val="00CC5095"/>
    <w:rsid w:val="00CC5368"/>
    <w:rsid w:val="00CC6048"/>
    <w:rsid w:val="00CE36B9"/>
    <w:rsid w:val="00CE373B"/>
    <w:rsid w:val="00CE3FF4"/>
    <w:rsid w:val="00CF3206"/>
    <w:rsid w:val="00CF4689"/>
    <w:rsid w:val="00D23769"/>
    <w:rsid w:val="00D2400F"/>
    <w:rsid w:val="00D32710"/>
    <w:rsid w:val="00D40E5B"/>
    <w:rsid w:val="00D4772D"/>
    <w:rsid w:val="00D61F39"/>
    <w:rsid w:val="00D64CC2"/>
    <w:rsid w:val="00D9247F"/>
    <w:rsid w:val="00DA17A2"/>
    <w:rsid w:val="00DD45F2"/>
    <w:rsid w:val="00DE03DF"/>
    <w:rsid w:val="00DE7457"/>
    <w:rsid w:val="00DF1D2F"/>
    <w:rsid w:val="00E0253F"/>
    <w:rsid w:val="00E13277"/>
    <w:rsid w:val="00E17AD5"/>
    <w:rsid w:val="00E240B2"/>
    <w:rsid w:val="00E33BC5"/>
    <w:rsid w:val="00E51FBE"/>
    <w:rsid w:val="00E553CF"/>
    <w:rsid w:val="00E55D17"/>
    <w:rsid w:val="00E66758"/>
    <w:rsid w:val="00E745C3"/>
    <w:rsid w:val="00E90037"/>
    <w:rsid w:val="00EB1E86"/>
    <w:rsid w:val="00EC4F26"/>
    <w:rsid w:val="00EF210F"/>
    <w:rsid w:val="00F06FCC"/>
    <w:rsid w:val="00F12450"/>
    <w:rsid w:val="00F32F18"/>
    <w:rsid w:val="00F40300"/>
    <w:rsid w:val="00F549E7"/>
    <w:rsid w:val="00F6721C"/>
    <w:rsid w:val="00F73509"/>
    <w:rsid w:val="00F85379"/>
    <w:rsid w:val="00F910F7"/>
    <w:rsid w:val="00FB10F8"/>
    <w:rsid w:val="00FB54F5"/>
    <w:rsid w:val="00FB662A"/>
    <w:rsid w:val="00FC6696"/>
    <w:rsid w:val="00FD468F"/>
    <w:rsid w:val="00FE1141"/>
    <w:rsid w:val="00FE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5F8CE9"/>
  <w15:docId w15:val="{F9A58202-E88E-434E-A7FC-E77D6496C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146575"/>
  </w:style>
  <w:style w:type="character" w:styleId="Hyperlink">
    <w:name w:val="Hyperlink"/>
    <w:rsid w:val="00086FFF"/>
    <w:rPr>
      <w:color w:val="0000FF"/>
      <w:u w:val="single"/>
    </w:rPr>
  </w:style>
  <w:style w:type="table" w:styleId="TableGrid">
    <w:name w:val="Table Grid"/>
    <w:basedOn w:val="TableNormal"/>
    <w:rsid w:val="00086FF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D64CC2"/>
    <w:rPr>
      <w:rFonts w:ascii="Tahoma" w:hAnsi="Tahoma" w:cs="Tahoma"/>
      <w:sz w:val="16"/>
      <w:szCs w:val="16"/>
    </w:rPr>
  </w:style>
  <w:style w:type="character" w:customStyle="1" w:styleId="BalloonTextChar">
    <w:name w:val="Balloon Text Char"/>
    <w:link w:val="BalloonText"/>
    <w:rsid w:val="00D64CC2"/>
    <w:rPr>
      <w:rFonts w:ascii="Tahoma" w:hAnsi="Tahoma" w:cs="Tahoma"/>
      <w:sz w:val="16"/>
      <w:szCs w:val="16"/>
    </w:rPr>
  </w:style>
  <w:style w:type="paragraph" w:customStyle="1" w:styleId="Default">
    <w:name w:val="Default"/>
    <w:rsid w:val="007A63C6"/>
    <w:pPr>
      <w:autoSpaceDE w:val="0"/>
      <w:autoSpaceDN w:val="0"/>
      <w:adjustRightInd w:val="0"/>
    </w:pPr>
    <w:rPr>
      <w:rFonts w:ascii="TimesNewRomanPS" w:hAnsi="TimesNewRomanPS" w:cs="TimesNewRomanPS"/>
      <w:color w:val="000000"/>
      <w:sz w:val="24"/>
      <w:szCs w:val="24"/>
    </w:rPr>
  </w:style>
  <w:style w:type="paragraph" w:customStyle="1" w:styleId="Pa0">
    <w:name w:val="Pa0"/>
    <w:basedOn w:val="Default"/>
    <w:next w:val="Default"/>
    <w:uiPriority w:val="99"/>
    <w:rsid w:val="007A63C6"/>
    <w:pPr>
      <w:spacing w:line="241" w:lineRule="atLeast"/>
    </w:pPr>
    <w:rPr>
      <w:rFonts w:cs="Times New Roman"/>
      <w:color w:val="auto"/>
    </w:rPr>
  </w:style>
  <w:style w:type="character" w:customStyle="1" w:styleId="A2">
    <w:name w:val="A2"/>
    <w:uiPriority w:val="99"/>
    <w:rsid w:val="007A63C6"/>
    <w:rPr>
      <w:rFonts w:cs="TimesNewRomanPS"/>
      <w:b/>
      <w:bCs/>
      <w:color w:val="000000"/>
      <w:sz w:val="20"/>
      <w:szCs w:val="20"/>
    </w:rPr>
  </w:style>
  <w:style w:type="paragraph" w:customStyle="1" w:styleId="Pa2">
    <w:name w:val="Pa2"/>
    <w:basedOn w:val="Default"/>
    <w:next w:val="Default"/>
    <w:uiPriority w:val="99"/>
    <w:rsid w:val="007A63C6"/>
    <w:pPr>
      <w:spacing w:line="241" w:lineRule="atLeast"/>
    </w:pPr>
    <w:rPr>
      <w:rFonts w:cs="Times New Roman"/>
      <w:color w:val="auto"/>
    </w:rPr>
  </w:style>
  <w:style w:type="character" w:customStyle="1" w:styleId="A0">
    <w:name w:val="A0"/>
    <w:uiPriority w:val="99"/>
    <w:rsid w:val="007A63C6"/>
    <w:rPr>
      <w:rFonts w:cs="TimesNewRomanPS"/>
      <w:color w:val="000000"/>
      <w:sz w:val="18"/>
      <w:szCs w:val="18"/>
    </w:rPr>
  </w:style>
  <w:style w:type="paragraph" w:customStyle="1" w:styleId="Pa3">
    <w:name w:val="Pa3"/>
    <w:basedOn w:val="Default"/>
    <w:next w:val="Default"/>
    <w:uiPriority w:val="99"/>
    <w:rsid w:val="007A63C6"/>
    <w:pPr>
      <w:spacing w:line="241" w:lineRule="atLeast"/>
    </w:pPr>
    <w:rPr>
      <w:rFonts w:cs="Times New Roman"/>
      <w:color w:val="auto"/>
    </w:rPr>
  </w:style>
  <w:style w:type="paragraph" w:customStyle="1" w:styleId="Pa4">
    <w:name w:val="Pa4"/>
    <w:basedOn w:val="Default"/>
    <w:next w:val="Default"/>
    <w:uiPriority w:val="99"/>
    <w:rsid w:val="007A63C6"/>
    <w:pPr>
      <w:spacing w:line="241" w:lineRule="atLeast"/>
    </w:pPr>
    <w:rPr>
      <w:rFonts w:cs="Times New Roman"/>
      <w:color w:val="auto"/>
    </w:rPr>
  </w:style>
  <w:style w:type="paragraph" w:customStyle="1" w:styleId="Pa6">
    <w:name w:val="Pa6"/>
    <w:basedOn w:val="Default"/>
    <w:next w:val="Default"/>
    <w:uiPriority w:val="99"/>
    <w:rsid w:val="007A63C6"/>
    <w:pPr>
      <w:spacing w:line="241" w:lineRule="atLeast"/>
    </w:pPr>
    <w:rPr>
      <w:rFonts w:cs="Times New Roman"/>
      <w:color w:val="auto"/>
    </w:rPr>
  </w:style>
  <w:style w:type="paragraph" w:customStyle="1" w:styleId="Pa5">
    <w:name w:val="Pa5"/>
    <w:basedOn w:val="Default"/>
    <w:next w:val="Default"/>
    <w:uiPriority w:val="99"/>
    <w:rsid w:val="007A63C6"/>
    <w:pPr>
      <w:spacing w:line="241" w:lineRule="atLeast"/>
    </w:pPr>
    <w:rPr>
      <w:rFonts w:cs="Times New Roman"/>
      <w:color w:val="auto"/>
    </w:rPr>
  </w:style>
  <w:style w:type="paragraph" w:customStyle="1" w:styleId="Pa1">
    <w:name w:val="Pa1"/>
    <w:basedOn w:val="Default"/>
    <w:next w:val="Default"/>
    <w:uiPriority w:val="99"/>
    <w:rsid w:val="007A63C6"/>
    <w:pPr>
      <w:spacing w:line="241"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07291">
      <w:bodyDiv w:val="1"/>
      <w:marLeft w:val="0"/>
      <w:marRight w:val="0"/>
      <w:marTop w:val="0"/>
      <w:marBottom w:val="0"/>
      <w:divBdr>
        <w:top w:val="none" w:sz="0" w:space="0" w:color="auto"/>
        <w:left w:val="none" w:sz="0" w:space="0" w:color="auto"/>
        <w:bottom w:val="none" w:sz="0" w:space="0" w:color="auto"/>
        <w:right w:val="none" w:sz="0" w:space="0" w:color="auto"/>
      </w:divBdr>
    </w:div>
    <w:div w:id="646012642">
      <w:bodyDiv w:val="1"/>
      <w:marLeft w:val="0"/>
      <w:marRight w:val="0"/>
      <w:marTop w:val="0"/>
      <w:marBottom w:val="0"/>
      <w:divBdr>
        <w:top w:val="none" w:sz="0" w:space="0" w:color="auto"/>
        <w:left w:val="none" w:sz="0" w:space="0" w:color="auto"/>
        <w:bottom w:val="none" w:sz="0" w:space="0" w:color="auto"/>
        <w:right w:val="none" w:sz="0" w:space="0" w:color="auto"/>
      </w:divBdr>
    </w:div>
    <w:div w:id="756947512">
      <w:bodyDiv w:val="1"/>
      <w:marLeft w:val="0"/>
      <w:marRight w:val="0"/>
      <w:marTop w:val="0"/>
      <w:marBottom w:val="0"/>
      <w:divBdr>
        <w:top w:val="none" w:sz="0" w:space="0" w:color="auto"/>
        <w:left w:val="none" w:sz="0" w:space="0" w:color="auto"/>
        <w:bottom w:val="none" w:sz="0" w:space="0" w:color="auto"/>
        <w:right w:val="none" w:sz="0" w:space="0" w:color="auto"/>
      </w:divBdr>
    </w:div>
    <w:div w:id="1008172363">
      <w:bodyDiv w:val="1"/>
      <w:marLeft w:val="0"/>
      <w:marRight w:val="0"/>
      <w:marTop w:val="0"/>
      <w:marBottom w:val="0"/>
      <w:divBdr>
        <w:top w:val="none" w:sz="0" w:space="0" w:color="auto"/>
        <w:left w:val="none" w:sz="0" w:space="0" w:color="auto"/>
        <w:bottom w:val="none" w:sz="0" w:space="0" w:color="auto"/>
        <w:right w:val="none" w:sz="0" w:space="0" w:color="auto"/>
      </w:divBdr>
    </w:div>
    <w:div w:id="1186409562">
      <w:bodyDiv w:val="1"/>
      <w:marLeft w:val="0"/>
      <w:marRight w:val="0"/>
      <w:marTop w:val="0"/>
      <w:marBottom w:val="0"/>
      <w:divBdr>
        <w:top w:val="none" w:sz="0" w:space="0" w:color="auto"/>
        <w:left w:val="none" w:sz="0" w:space="0" w:color="auto"/>
        <w:bottom w:val="none" w:sz="0" w:space="0" w:color="auto"/>
        <w:right w:val="none" w:sz="0" w:space="0" w:color="auto"/>
      </w:divBdr>
    </w:div>
    <w:div w:id="1422289607">
      <w:bodyDiv w:val="1"/>
      <w:marLeft w:val="0"/>
      <w:marRight w:val="0"/>
      <w:marTop w:val="0"/>
      <w:marBottom w:val="0"/>
      <w:divBdr>
        <w:top w:val="none" w:sz="0" w:space="0" w:color="auto"/>
        <w:left w:val="none" w:sz="0" w:space="0" w:color="auto"/>
        <w:bottom w:val="none" w:sz="0" w:space="0" w:color="auto"/>
        <w:right w:val="none" w:sz="0" w:space="0" w:color="auto"/>
      </w:divBdr>
    </w:div>
    <w:div w:id="153053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BK610-002020-00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VI</Division>
    <Section xmlns="2328571d-b9d5-471b-8d96-2ccb743ec3d4">610</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43B35D-4982-490D-886D-AC8D9D43EBC1}"/>
</file>

<file path=customXml/itemProps2.xml><?xml version="1.0" encoding="utf-8"?>
<ds:datastoreItem xmlns:ds="http://schemas.openxmlformats.org/officeDocument/2006/customXml" ds:itemID="{75E0E297-75AD-4060-AAE5-96D804807E43}"/>
</file>

<file path=customXml/itemProps3.xml><?xml version="1.0" encoding="utf-8"?>
<ds:datastoreItem xmlns:ds="http://schemas.openxmlformats.org/officeDocument/2006/customXml" ds:itemID="{BE79C23C-45A4-489A-B642-4EF70955F2C7}"/>
</file>

<file path=customXml/itemProps4.xml><?xml version="1.0" encoding="utf-8"?>
<ds:datastoreItem xmlns:ds="http://schemas.openxmlformats.org/officeDocument/2006/customXml" ds:itemID="{92DD3CC8-BD64-4483-8D8C-49756ED9B2F8}"/>
</file>

<file path=docProps/app.xml><?xml version="1.0" encoding="utf-8"?>
<Properties xmlns="http://schemas.openxmlformats.org/officeDocument/2006/extended-properties" xmlns:vt="http://schemas.openxmlformats.org/officeDocument/2006/docPropsVTypes">
  <Template>Normal</Template>
  <TotalTime>0</TotalTime>
  <Pages>2</Pages>
  <Words>697</Words>
  <Characters>3458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Gabions</vt:lpstr>
    </vt:vector>
  </TitlesOfParts>
  <Company>VDOT</Company>
  <LinksUpToDate>false</LinksUpToDate>
  <CharactersWithSpaces>4147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Gabions</dc:title>
  <dc:creator>vdot</dc:creator>
  <cp:lastModifiedBy>Changes</cp:lastModifiedBy>
  <cp:revision>3</cp:revision>
  <dcterms:created xsi:type="dcterms:W3CDTF">2020-01-06T16:20:00Z</dcterms:created>
  <dcterms:modified xsi:type="dcterms:W3CDTF">2020-01-06T16:20:00Z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/insidevdot/div/sc/Design/Specs/Book|41176b31-d830-4f5a-97e0-09f439f0a51f</vt:lpwstr>
  </property>
  <property fmtid="{D5CDD505-2E9C-101B-9397-08002B2CF9AE}" pid="4" name="_dlc_DocIdItemGuid">
    <vt:lpwstr>41176b31-d830-4f5a-97e0-09f439f0a51f</vt:lpwstr>
  </property>
  <property fmtid="{D5CDD505-2E9C-101B-9397-08002B2CF9AE}" pid="5" name="_dlc_DocIdUrl">
    <vt:lpwstr>https://insidevdot.cov.virginia.gov/div/sc/Design/Specs/Book/_layouts/DocIdRedir.aspx?ID=%2finsidevdot%2fdiv%2fsc%2fDesign%2fSpecs%2fBook%7c41176b31-d830-4f5a-97e0-09f439f0a51f, /insidevdot/div/sc/Design/Specs/Book|41176b31-d830-4f5a-97e0-09f439f0a51f</vt:lpwstr>
  </property>
  <property fmtid="{D5CDD505-2E9C-101B-9397-08002B2CF9AE}" pid="6" name="Locked">
    <vt:lpwstr>N</vt:lpwstr>
  </property>
  <property fmtid="{D5CDD505-2E9C-101B-9397-08002B2CF9AE}" pid="7" name="Order">
    <vt:r8>13700</vt:r8>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AROTCE">
    <vt:lpwstr/>
  </property>
  <property fmtid="{D5CDD505-2E9C-101B-9397-08002B2CF9AE}" pid="10" name="SME(s)">
    <vt:lpwstr/>
  </property>
  <property fmtid="{D5CDD505-2E9C-101B-9397-08002B2CF9AE}" pid="11" name="ContentTypeId">
    <vt:lpwstr>0x010100771DA6D9234A1F4BB626256BCE9A5673</vt:lpwstr>
  </property>
  <property fmtid="{D5CDD505-2E9C-101B-9397-08002B2CF9AE}" pid="12" name="xd_Signature">
    <vt:bool>false</vt:bool>
  </property>
  <property fmtid="{D5CDD505-2E9C-101B-9397-08002B2CF9AE}" pid="13" name="xd_ProgID">
    <vt:lpwstr/>
  </property>
  <property fmtid="{D5CDD505-2E9C-101B-9397-08002B2CF9AE}" pid="14" name="TemplateUrl">
    <vt:lpwstr/>
  </property>
  <property fmtid="{D5CDD505-2E9C-101B-9397-08002B2CF9AE}" pid="15" name="Specification Number">
    <vt:lpwstr>BK610-002016-00</vt:lpwstr>
  </property>
  <property fmtid="{D5CDD505-2E9C-101B-9397-08002B2CF9AE}" pid="16" name="Availability Date">
    <vt:filetime>2016-07-01T04:00:00Z</vt:filetime>
  </property>
  <property fmtid="{D5CDD505-2E9C-101B-9397-08002B2CF9AE}" pid="17" name="Sect">
    <vt:lpwstr>610</vt:lpwstr>
  </property>
  <property fmtid="{D5CDD505-2E9C-101B-9397-08002B2CF9AE}" pid="18" name="Document Type">
    <vt:lpwstr>Spec Book</vt:lpwstr>
  </property>
  <property fmtid="{D5CDD505-2E9C-101B-9397-08002B2CF9AE}" pid="19" name="Status">
    <vt:lpwstr>Active</vt:lpwstr>
  </property>
  <property fmtid="{D5CDD505-2E9C-101B-9397-08002B2CF9AE}" pid="20" name="Contains Fields">
    <vt:lpwstr>No</vt:lpwstr>
  </property>
  <property fmtid="{D5CDD505-2E9C-101B-9397-08002B2CF9AE}" pid="21" name="Div">
    <vt:lpwstr>VI</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