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2CE66B" w14:textId="25755627" w:rsidR="00A00E1B" w:rsidRPr="00A00E1B" w:rsidRDefault="00A00E1B" w:rsidP="00F83B23">
      <w:pPr>
        <w:pStyle w:val="Pa0"/>
        <w:spacing w:after="240" w:line="240" w:lineRule="auto"/>
        <w:jc w:val="center"/>
        <w:outlineLvl w:val="0"/>
        <w:rPr>
          <w:rFonts w:ascii="Arial" w:hAnsi="Arial" w:cs="Arial"/>
          <w:sz w:val="20"/>
          <w:szCs w:val="20"/>
        </w:rPr>
      </w:pPr>
      <w:r>
        <w:rPr>
          <w:rStyle w:val="A2"/>
          <w:rFonts w:ascii="Arial" w:hAnsi="Arial" w:cs="Arial"/>
        </w:rPr>
        <w:t xml:space="preserve">SECTION 705 – </w:t>
      </w:r>
      <w:r w:rsidRPr="00A00E1B">
        <w:rPr>
          <w:rStyle w:val="A2"/>
          <w:rFonts w:ascii="Arial" w:hAnsi="Arial" w:cs="Arial"/>
        </w:rPr>
        <w:t>LIGHTING SYSTEMS</w:t>
      </w:r>
    </w:p>
    <w:p w14:paraId="4A907D86" w14:textId="3EA793F9" w:rsidR="00A00E1B" w:rsidRPr="00A00E1B" w:rsidRDefault="00A00E1B" w:rsidP="00F83B23">
      <w:pPr>
        <w:pStyle w:val="Pa1"/>
        <w:spacing w:after="240" w:line="240" w:lineRule="auto"/>
        <w:jc w:val="both"/>
        <w:outlineLvl w:val="1"/>
        <w:rPr>
          <w:rFonts w:ascii="Arial" w:hAnsi="Arial" w:cs="Arial"/>
          <w:sz w:val="20"/>
          <w:szCs w:val="20"/>
        </w:rPr>
      </w:pPr>
      <w:proofErr w:type="gramStart"/>
      <w:r>
        <w:rPr>
          <w:rStyle w:val="A0"/>
          <w:rFonts w:ascii="Arial" w:hAnsi="Arial" w:cs="Arial"/>
          <w:b/>
          <w:bCs/>
          <w:sz w:val="20"/>
          <w:szCs w:val="20"/>
        </w:rPr>
        <w:t>705.01</w:t>
      </w:r>
      <w:proofErr w:type="gramEnd"/>
      <w:r>
        <w:rPr>
          <w:rStyle w:val="A0"/>
          <w:rFonts w:ascii="Arial" w:hAnsi="Arial" w:cs="Arial"/>
          <w:b/>
          <w:bCs/>
          <w:sz w:val="20"/>
          <w:szCs w:val="20"/>
        </w:rPr>
        <w:t xml:space="preserve"> – </w:t>
      </w:r>
      <w:r w:rsidRPr="00A00E1B">
        <w:rPr>
          <w:rStyle w:val="A0"/>
          <w:rFonts w:ascii="Arial" w:hAnsi="Arial" w:cs="Arial"/>
          <w:b/>
          <w:bCs/>
          <w:sz w:val="20"/>
          <w:szCs w:val="20"/>
        </w:rPr>
        <w:t>Description</w:t>
      </w:r>
    </w:p>
    <w:p w14:paraId="242C51AD" w14:textId="4FE7E41C" w:rsidR="00A00E1B" w:rsidRPr="00A00E1B" w:rsidRDefault="00A00E1B" w:rsidP="00F83B23">
      <w:pPr>
        <w:pStyle w:val="Pa1"/>
        <w:spacing w:after="240" w:line="240" w:lineRule="auto"/>
        <w:jc w:val="both"/>
        <w:rPr>
          <w:rFonts w:ascii="Arial" w:hAnsi="Arial" w:cs="Arial"/>
          <w:sz w:val="20"/>
          <w:szCs w:val="20"/>
        </w:rPr>
      </w:pPr>
      <w:r w:rsidRPr="00A00E1B">
        <w:rPr>
          <w:rStyle w:val="A0"/>
          <w:rFonts w:ascii="Arial" w:hAnsi="Arial" w:cs="Arial"/>
          <w:sz w:val="20"/>
          <w:szCs w:val="20"/>
        </w:rPr>
        <w:t>This work shall consist of furnishing, installing, and testing proposed lighting systems and removing, modifying, or relocating existing systems in accordance with these specifications and in conformity to the lines and details shown on the plans or established by the Engineer.</w:t>
      </w:r>
    </w:p>
    <w:p w14:paraId="53462513" w14:textId="14F26892" w:rsidR="00A00E1B" w:rsidRPr="00A00E1B" w:rsidRDefault="00A00E1B" w:rsidP="00F83B23">
      <w:pPr>
        <w:pStyle w:val="Pa1"/>
        <w:spacing w:after="240" w:line="240" w:lineRule="auto"/>
        <w:jc w:val="both"/>
        <w:outlineLvl w:val="1"/>
        <w:rPr>
          <w:rFonts w:ascii="Arial" w:hAnsi="Arial" w:cs="Arial"/>
          <w:sz w:val="20"/>
          <w:szCs w:val="20"/>
        </w:rPr>
      </w:pPr>
      <w:proofErr w:type="gramStart"/>
      <w:r>
        <w:rPr>
          <w:rStyle w:val="A0"/>
          <w:rFonts w:ascii="Arial" w:hAnsi="Arial" w:cs="Arial"/>
          <w:b/>
          <w:bCs/>
          <w:sz w:val="20"/>
          <w:szCs w:val="20"/>
        </w:rPr>
        <w:t>705.02</w:t>
      </w:r>
      <w:proofErr w:type="gramEnd"/>
      <w:r>
        <w:rPr>
          <w:rStyle w:val="A0"/>
          <w:rFonts w:ascii="Arial" w:hAnsi="Arial" w:cs="Arial"/>
          <w:b/>
          <w:bCs/>
          <w:sz w:val="20"/>
          <w:szCs w:val="20"/>
        </w:rPr>
        <w:t xml:space="preserve"> – </w:t>
      </w:r>
      <w:r w:rsidRPr="00A00E1B">
        <w:rPr>
          <w:rStyle w:val="A0"/>
          <w:rFonts w:ascii="Arial" w:hAnsi="Arial" w:cs="Arial"/>
          <w:b/>
          <w:bCs/>
          <w:sz w:val="20"/>
          <w:szCs w:val="20"/>
        </w:rPr>
        <w:t>Materials</w:t>
      </w:r>
    </w:p>
    <w:p w14:paraId="5ACEB537" w14:textId="77777777" w:rsidR="00A00E1B" w:rsidRDefault="00A00E1B" w:rsidP="00F83B23">
      <w:pPr>
        <w:pStyle w:val="Pa1"/>
        <w:spacing w:after="240" w:line="240" w:lineRule="auto"/>
        <w:jc w:val="both"/>
        <w:rPr>
          <w:rStyle w:val="A0"/>
          <w:rFonts w:ascii="Arial" w:hAnsi="Arial" w:cs="Arial"/>
          <w:sz w:val="20"/>
          <w:szCs w:val="20"/>
        </w:rPr>
      </w:pPr>
      <w:r w:rsidRPr="00A00E1B">
        <w:rPr>
          <w:rStyle w:val="A0"/>
          <w:rFonts w:ascii="Arial" w:hAnsi="Arial" w:cs="Arial"/>
          <w:sz w:val="20"/>
          <w:szCs w:val="20"/>
        </w:rPr>
        <w:t>Photoelectric controls shall conform to Section 238.</w:t>
      </w:r>
    </w:p>
    <w:p w14:paraId="62E48A1D" w14:textId="16D0A249" w:rsidR="00A00E1B" w:rsidRDefault="00A00E1B" w:rsidP="00F83B23">
      <w:pPr>
        <w:pStyle w:val="Pa1"/>
        <w:spacing w:after="240" w:line="240" w:lineRule="auto"/>
        <w:jc w:val="both"/>
        <w:outlineLvl w:val="1"/>
        <w:rPr>
          <w:rStyle w:val="A0"/>
          <w:rFonts w:ascii="Arial" w:hAnsi="Arial" w:cs="Arial"/>
          <w:b/>
          <w:bCs/>
          <w:sz w:val="20"/>
          <w:szCs w:val="20"/>
        </w:rPr>
      </w:pPr>
      <w:proofErr w:type="gramStart"/>
      <w:r w:rsidRPr="00A00E1B">
        <w:rPr>
          <w:rStyle w:val="A0"/>
          <w:rFonts w:ascii="Arial" w:hAnsi="Arial" w:cs="Arial"/>
          <w:b/>
          <w:bCs/>
          <w:sz w:val="20"/>
          <w:szCs w:val="20"/>
        </w:rPr>
        <w:t>705</w:t>
      </w:r>
      <w:r>
        <w:rPr>
          <w:rStyle w:val="A0"/>
          <w:rFonts w:ascii="Arial" w:hAnsi="Arial" w:cs="Arial"/>
          <w:b/>
          <w:bCs/>
          <w:sz w:val="20"/>
          <w:szCs w:val="20"/>
        </w:rPr>
        <w:t>.03</w:t>
      </w:r>
      <w:proofErr w:type="gramEnd"/>
      <w:r>
        <w:rPr>
          <w:rStyle w:val="A0"/>
          <w:rFonts w:ascii="Arial" w:hAnsi="Arial" w:cs="Arial"/>
          <w:b/>
          <w:bCs/>
          <w:sz w:val="20"/>
          <w:szCs w:val="20"/>
        </w:rPr>
        <w:t xml:space="preserve"> – </w:t>
      </w:r>
      <w:r w:rsidRPr="00A00E1B">
        <w:rPr>
          <w:rStyle w:val="A0"/>
          <w:rFonts w:ascii="Arial" w:hAnsi="Arial" w:cs="Arial"/>
          <w:b/>
          <w:bCs/>
          <w:sz w:val="20"/>
          <w:szCs w:val="20"/>
        </w:rPr>
        <w:t>Procedures</w:t>
      </w:r>
    </w:p>
    <w:p w14:paraId="74CCA820" w14:textId="77777777" w:rsidR="00A00E1B" w:rsidRDefault="00A00E1B" w:rsidP="00F83B23">
      <w:pPr>
        <w:pStyle w:val="Pa1"/>
        <w:spacing w:after="240" w:line="240" w:lineRule="auto"/>
        <w:jc w:val="both"/>
        <w:rPr>
          <w:rStyle w:val="A0"/>
          <w:rFonts w:ascii="Arial" w:hAnsi="Arial" w:cs="Arial"/>
          <w:sz w:val="20"/>
          <w:szCs w:val="20"/>
        </w:rPr>
      </w:pPr>
      <w:r w:rsidRPr="00A00E1B">
        <w:rPr>
          <w:rStyle w:val="A0"/>
          <w:rFonts w:ascii="Arial" w:hAnsi="Arial" w:cs="Arial"/>
          <w:sz w:val="20"/>
          <w:szCs w:val="20"/>
        </w:rPr>
        <w:t>The Contractor shall verify or locate the origin of the power source and verify voltage when modifying, removing, or relocating existing electrical systems. The Contractor shall also inform the Engineer at least 48 hours prior to the anticipated time of de-energizing any portion of the electrical system in order to facilitate such work. Work shall be performed in accordance with the NEC and the requirements of the local power company, unless otherwise specified on the Plans.</w:t>
      </w:r>
    </w:p>
    <w:p w14:paraId="59CC59AB" w14:textId="77777777" w:rsidR="00A00E1B" w:rsidRDefault="00A00E1B" w:rsidP="00F83B23">
      <w:pPr>
        <w:pStyle w:val="Pa1"/>
        <w:numPr>
          <w:ilvl w:val="0"/>
          <w:numId w:val="2"/>
        </w:numPr>
        <w:spacing w:after="240" w:line="240" w:lineRule="auto"/>
        <w:jc w:val="both"/>
        <w:rPr>
          <w:rStyle w:val="A0"/>
          <w:rFonts w:ascii="Arial" w:hAnsi="Arial" w:cs="Arial"/>
          <w:sz w:val="20"/>
          <w:szCs w:val="20"/>
        </w:rPr>
      </w:pPr>
      <w:r w:rsidRPr="00A00E1B">
        <w:rPr>
          <w:rStyle w:val="A0"/>
          <w:rFonts w:ascii="Arial" w:hAnsi="Arial" w:cs="Arial"/>
          <w:b/>
          <w:bCs/>
          <w:sz w:val="20"/>
          <w:szCs w:val="20"/>
        </w:rPr>
        <w:t>Luminaires for Roadway Lighting:</w:t>
      </w:r>
      <w:r w:rsidRPr="00F83B23">
        <w:rPr>
          <w:rStyle w:val="A0"/>
          <w:rFonts w:ascii="Arial" w:hAnsi="Arial" w:cs="Arial"/>
          <w:bCs/>
          <w:sz w:val="20"/>
          <w:szCs w:val="20"/>
        </w:rPr>
        <w:t xml:space="preserve"> </w:t>
      </w:r>
      <w:r w:rsidRPr="00A00E1B">
        <w:rPr>
          <w:rStyle w:val="A0"/>
          <w:rFonts w:ascii="Arial" w:hAnsi="Arial" w:cs="Arial"/>
          <w:sz w:val="20"/>
          <w:szCs w:val="20"/>
        </w:rPr>
        <w:t>The Contractor shall install luminaires in accordance with the manufacturer’s recommendations. Luminaires shall be adjusted for maximum illumination and uniform dispersion on the pavement or sidewalk as directed by the Engineer.</w:t>
      </w:r>
    </w:p>
    <w:p w14:paraId="6490E9AE" w14:textId="735FE323" w:rsidR="00A00E1B" w:rsidRDefault="00A00E1B" w:rsidP="00F83B23">
      <w:pPr>
        <w:pStyle w:val="Pa1"/>
        <w:numPr>
          <w:ilvl w:val="0"/>
          <w:numId w:val="2"/>
        </w:numPr>
        <w:spacing w:after="240" w:line="240" w:lineRule="auto"/>
        <w:jc w:val="both"/>
        <w:rPr>
          <w:rStyle w:val="A0"/>
          <w:rFonts w:ascii="Arial" w:hAnsi="Arial" w:cs="Arial"/>
          <w:sz w:val="20"/>
          <w:szCs w:val="20"/>
        </w:rPr>
      </w:pPr>
      <w:r w:rsidRPr="00A00E1B">
        <w:rPr>
          <w:rStyle w:val="A0"/>
          <w:rFonts w:ascii="Arial" w:hAnsi="Arial" w:cs="Arial"/>
          <w:b/>
          <w:bCs/>
          <w:sz w:val="20"/>
          <w:szCs w:val="20"/>
        </w:rPr>
        <w:t>Sign Luminaires:</w:t>
      </w:r>
      <w:r w:rsidRPr="00F83B23">
        <w:rPr>
          <w:rStyle w:val="A0"/>
          <w:rFonts w:ascii="Arial" w:hAnsi="Arial" w:cs="Arial"/>
          <w:bCs/>
          <w:sz w:val="20"/>
          <w:szCs w:val="20"/>
        </w:rPr>
        <w:t xml:space="preserve"> </w:t>
      </w:r>
      <w:r w:rsidRPr="00A00E1B">
        <w:rPr>
          <w:rStyle w:val="A0"/>
          <w:rFonts w:ascii="Arial" w:hAnsi="Arial" w:cs="Arial"/>
          <w:sz w:val="20"/>
          <w:szCs w:val="20"/>
        </w:rPr>
        <w:t>The Contractor shall ensure luminaires are shielded to eliminate glare or extraneous light on the roadway so that these provide a maximum-to-minimum uniformity ratio of 6:1 or better once installed. When tested at the center of a 10-foot-square test panel, the luminaire shall provide at least 30 average initial foot-candles and a gradient (ratio of illumination on any two adjacent square feet of sign surface) of 2:1 or less.</w:t>
      </w:r>
    </w:p>
    <w:p w14:paraId="69CD2A8C" w14:textId="4099A31C" w:rsidR="00A00E1B" w:rsidRDefault="00A00E1B" w:rsidP="00F83B23">
      <w:pPr>
        <w:pStyle w:val="Pa1"/>
        <w:numPr>
          <w:ilvl w:val="0"/>
          <w:numId w:val="2"/>
        </w:numPr>
        <w:spacing w:after="240" w:line="240" w:lineRule="auto"/>
        <w:jc w:val="both"/>
        <w:rPr>
          <w:rStyle w:val="A0"/>
          <w:rFonts w:ascii="Arial" w:hAnsi="Arial" w:cs="Arial"/>
          <w:sz w:val="20"/>
          <w:szCs w:val="20"/>
        </w:rPr>
      </w:pPr>
      <w:r w:rsidRPr="00A00E1B">
        <w:rPr>
          <w:rStyle w:val="A0"/>
          <w:rFonts w:ascii="Arial" w:hAnsi="Arial" w:cs="Arial"/>
          <w:b/>
          <w:bCs/>
          <w:sz w:val="20"/>
          <w:szCs w:val="20"/>
        </w:rPr>
        <w:t>High-Mast Luminaire Assemblies:</w:t>
      </w:r>
      <w:r w:rsidRPr="00F83B23">
        <w:rPr>
          <w:rStyle w:val="A0"/>
          <w:rFonts w:ascii="Arial" w:hAnsi="Arial" w:cs="Arial"/>
          <w:bCs/>
          <w:sz w:val="20"/>
          <w:szCs w:val="20"/>
        </w:rPr>
        <w:t xml:space="preserve"> </w:t>
      </w:r>
      <w:r w:rsidRPr="00A00E1B">
        <w:rPr>
          <w:rStyle w:val="A0"/>
          <w:rFonts w:ascii="Arial" w:hAnsi="Arial" w:cs="Arial"/>
          <w:sz w:val="20"/>
          <w:szCs w:val="20"/>
        </w:rPr>
        <w:t>Assemblies shall consist of a head frame assembly; luminaire ring; luminaire(s); winch assembly; a fail-safe mechanism to prevent accidental lowering of the luminaire ring; and incidentals necessary to raise, lower, supply, and control power to the luminaire ring. When an electric drill is required for raising and lowering the assembly, the Contractor shall furnish one drill for each set of five high-mast luminaire assemblies or fraction thereof.</w:t>
      </w:r>
    </w:p>
    <w:p w14:paraId="45B97EFF" w14:textId="77777777" w:rsidR="00A00E1B" w:rsidRDefault="00A00E1B" w:rsidP="00F83B23">
      <w:pPr>
        <w:pStyle w:val="Pa1"/>
        <w:numPr>
          <w:ilvl w:val="1"/>
          <w:numId w:val="2"/>
        </w:numPr>
        <w:spacing w:after="240" w:line="240" w:lineRule="auto"/>
        <w:jc w:val="both"/>
        <w:rPr>
          <w:rStyle w:val="A0"/>
          <w:rFonts w:ascii="Arial" w:hAnsi="Arial" w:cs="Arial"/>
          <w:sz w:val="20"/>
          <w:szCs w:val="20"/>
        </w:rPr>
      </w:pPr>
      <w:r w:rsidRPr="00A00E1B">
        <w:rPr>
          <w:rStyle w:val="A0"/>
          <w:rFonts w:ascii="Arial" w:hAnsi="Arial" w:cs="Arial"/>
          <w:b/>
          <w:bCs/>
          <w:sz w:val="20"/>
          <w:szCs w:val="20"/>
        </w:rPr>
        <w:t>The lowering system</w:t>
      </w:r>
      <w:r w:rsidRPr="00F83B23">
        <w:rPr>
          <w:rStyle w:val="A0"/>
          <w:rFonts w:ascii="Arial" w:hAnsi="Arial" w:cs="Arial"/>
          <w:bCs/>
          <w:sz w:val="20"/>
          <w:szCs w:val="20"/>
        </w:rPr>
        <w:t xml:space="preserve"> </w:t>
      </w:r>
      <w:r w:rsidRPr="00A00E1B">
        <w:rPr>
          <w:rStyle w:val="A0"/>
          <w:rFonts w:ascii="Arial" w:hAnsi="Arial" w:cs="Arial"/>
          <w:sz w:val="20"/>
          <w:szCs w:val="20"/>
        </w:rPr>
        <w:t>shall be compatible with the lighting pole and capable of raising and lowering a luminaire ring with eight luminaires.</w:t>
      </w:r>
    </w:p>
    <w:p w14:paraId="0FE35488" w14:textId="77777777" w:rsidR="00A00E1B" w:rsidRDefault="00A00E1B" w:rsidP="00F83B23">
      <w:pPr>
        <w:pStyle w:val="Pa1"/>
        <w:numPr>
          <w:ilvl w:val="1"/>
          <w:numId w:val="2"/>
        </w:numPr>
        <w:spacing w:after="240" w:line="240" w:lineRule="auto"/>
        <w:jc w:val="both"/>
        <w:rPr>
          <w:rStyle w:val="A0"/>
          <w:rFonts w:ascii="Arial" w:hAnsi="Arial" w:cs="Arial"/>
          <w:sz w:val="20"/>
          <w:szCs w:val="20"/>
        </w:rPr>
      </w:pPr>
      <w:r w:rsidRPr="00A00E1B">
        <w:rPr>
          <w:rStyle w:val="A0"/>
          <w:rFonts w:ascii="Arial" w:hAnsi="Arial" w:cs="Arial"/>
          <w:b/>
          <w:bCs/>
          <w:sz w:val="20"/>
          <w:szCs w:val="20"/>
        </w:rPr>
        <w:t>The head frame assembly, luminaire ring, and canopy</w:t>
      </w:r>
      <w:r w:rsidRPr="00F83B23">
        <w:rPr>
          <w:rStyle w:val="A0"/>
          <w:rFonts w:ascii="Arial" w:hAnsi="Arial" w:cs="Arial"/>
          <w:bCs/>
          <w:sz w:val="20"/>
          <w:szCs w:val="20"/>
        </w:rPr>
        <w:t xml:space="preserve"> </w:t>
      </w:r>
      <w:r w:rsidRPr="00A00E1B">
        <w:rPr>
          <w:rStyle w:val="A0"/>
          <w:rFonts w:ascii="Arial" w:hAnsi="Arial" w:cs="Arial"/>
          <w:sz w:val="20"/>
          <w:szCs w:val="20"/>
        </w:rPr>
        <w:t xml:space="preserve">shall be constructed of a material that is resistant to weather, corrosion, and ultraviolet rays. The centering arms of the assembly shall provide stabilization of the luminaire ring during raising and lowering operations and shall maintain contact with the lighting pole for at least 2/3 of its length. A fail-safe latching mechanism shall be included in the head frame assembly that will remove the tension from the lowering cables when </w:t>
      </w:r>
      <w:proofErr w:type="gramStart"/>
      <w:r w:rsidRPr="00A00E1B">
        <w:rPr>
          <w:rStyle w:val="A0"/>
          <w:rFonts w:ascii="Arial" w:hAnsi="Arial" w:cs="Arial"/>
          <w:sz w:val="20"/>
          <w:szCs w:val="20"/>
        </w:rPr>
        <w:t>the</w:t>
      </w:r>
      <w:proofErr w:type="gramEnd"/>
      <w:r w:rsidRPr="00A00E1B">
        <w:rPr>
          <w:rStyle w:val="A0"/>
          <w:rFonts w:ascii="Arial" w:hAnsi="Arial" w:cs="Arial"/>
          <w:sz w:val="20"/>
          <w:szCs w:val="20"/>
        </w:rPr>
        <w:t xml:space="preserve"> luminaire ring is attached.</w:t>
      </w:r>
    </w:p>
    <w:p w14:paraId="72BE35BE" w14:textId="77777777" w:rsidR="00A00E1B" w:rsidRDefault="00A00E1B" w:rsidP="00F83B23">
      <w:pPr>
        <w:pStyle w:val="Pa1"/>
        <w:numPr>
          <w:ilvl w:val="1"/>
          <w:numId w:val="2"/>
        </w:numPr>
        <w:spacing w:after="240" w:line="240" w:lineRule="auto"/>
        <w:jc w:val="both"/>
        <w:rPr>
          <w:rStyle w:val="A0"/>
          <w:rFonts w:ascii="Arial" w:hAnsi="Arial" w:cs="Arial"/>
          <w:sz w:val="20"/>
          <w:szCs w:val="20"/>
        </w:rPr>
      </w:pPr>
      <w:r w:rsidRPr="00A00E1B">
        <w:rPr>
          <w:rStyle w:val="A0"/>
          <w:rFonts w:ascii="Arial" w:hAnsi="Arial" w:cs="Arial"/>
          <w:b/>
          <w:bCs/>
          <w:sz w:val="20"/>
          <w:szCs w:val="20"/>
        </w:rPr>
        <w:t>The winch assembly</w:t>
      </w:r>
      <w:r w:rsidRPr="00F83B23">
        <w:rPr>
          <w:rStyle w:val="A0"/>
          <w:rFonts w:ascii="Arial" w:hAnsi="Arial" w:cs="Arial"/>
          <w:bCs/>
          <w:sz w:val="20"/>
          <w:szCs w:val="20"/>
        </w:rPr>
        <w:t xml:space="preserve"> </w:t>
      </w:r>
      <w:r w:rsidRPr="00A00E1B">
        <w:rPr>
          <w:rStyle w:val="A0"/>
          <w:rFonts w:ascii="Arial" w:hAnsi="Arial" w:cs="Arial"/>
          <w:sz w:val="20"/>
          <w:szCs w:val="20"/>
        </w:rPr>
        <w:t xml:space="preserve">shall include power cables of 600-volt, multi-conductor No. 10 (minimum), UL Type SO; lowering system cables of stranded stainless steel of sufficient strength and number to support and lower the luminaire ring and luminaires; and a 1/2- inch heavy-duty reversible electric drill or electric motor suitable for operation of the lowering\raising of the luminaire ring and luminaires at the voltage shown on the plans. The winch assembly shall have a remote control </w:t>
      </w:r>
      <w:proofErr w:type="gramStart"/>
      <w:r w:rsidRPr="00A00E1B">
        <w:rPr>
          <w:rStyle w:val="A0"/>
          <w:rFonts w:ascii="Arial" w:hAnsi="Arial" w:cs="Arial"/>
          <w:sz w:val="20"/>
          <w:szCs w:val="20"/>
        </w:rPr>
        <w:t>that allows operation at least 15 feet from the lighting pole and shall be designed for alternatively lowering and raising the assembly by hand if necessary</w:t>
      </w:r>
      <w:proofErr w:type="gramEnd"/>
      <w:r w:rsidRPr="00A00E1B">
        <w:rPr>
          <w:rStyle w:val="A0"/>
          <w:rFonts w:ascii="Arial" w:hAnsi="Arial" w:cs="Arial"/>
          <w:sz w:val="20"/>
          <w:szCs w:val="20"/>
        </w:rPr>
        <w:t>.</w:t>
      </w:r>
    </w:p>
    <w:p w14:paraId="29C4348F" w14:textId="7265F0D8" w:rsidR="00A00E1B" w:rsidRDefault="00A00E1B" w:rsidP="00F83B23">
      <w:pPr>
        <w:pStyle w:val="Pa1"/>
        <w:numPr>
          <w:ilvl w:val="1"/>
          <w:numId w:val="2"/>
        </w:numPr>
        <w:spacing w:after="240" w:line="240" w:lineRule="auto"/>
        <w:jc w:val="both"/>
        <w:rPr>
          <w:rStyle w:val="A0"/>
          <w:rFonts w:ascii="Arial" w:hAnsi="Arial" w:cs="Arial"/>
          <w:sz w:val="20"/>
          <w:szCs w:val="20"/>
        </w:rPr>
      </w:pPr>
      <w:r w:rsidRPr="00A00E1B">
        <w:rPr>
          <w:rStyle w:val="A0"/>
          <w:rFonts w:ascii="Arial" w:hAnsi="Arial" w:cs="Arial"/>
          <w:b/>
          <w:bCs/>
          <w:sz w:val="20"/>
          <w:szCs w:val="20"/>
        </w:rPr>
        <w:lastRenderedPageBreak/>
        <w:t>A junction box with a prewired terminal block</w:t>
      </w:r>
      <w:r w:rsidRPr="00F83B23">
        <w:rPr>
          <w:rStyle w:val="A0"/>
          <w:rFonts w:ascii="Arial" w:hAnsi="Arial" w:cs="Arial"/>
          <w:bCs/>
          <w:sz w:val="20"/>
          <w:szCs w:val="20"/>
        </w:rPr>
        <w:t xml:space="preserve"> </w:t>
      </w:r>
      <w:r w:rsidRPr="00A00E1B">
        <w:rPr>
          <w:rStyle w:val="A0"/>
          <w:rFonts w:ascii="Arial" w:hAnsi="Arial" w:cs="Arial"/>
          <w:sz w:val="20"/>
          <w:szCs w:val="20"/>
        </w:rPr>
        <w:t xml:space="preserve">shall be furnished on the lowering ring with provisions for a photoelectric control. A circuit breaker shall be mounted in the </w:t>
      </w:r>
      <w:proofErr w:type="spellStart"/>
      <w:r w:rsidRPr="00A00E1B">
        <w:rPr>
          <w:rStyle w:val="A0"/>
          <w:rFonts w:ascii="Arial" w:hAnsi="Arial" w:cs="Arial"/>
          <w:sz w:val="20"/>
          <w:szCs w:val="20"/>
        </w:rPr>
        <w:t>handhole</w:t>
      </w:r>
      <w:proofErr w:type="spellEnd"/>
      <w:r w:rsidRPr="00A00E1B">
        <w:rPr>
          <w:rStyle w:val="A0"/>
          <w:rFonts w:ascii="Arial" w:hAnsi="Arial" w:cs="Arial"/>
          <w:sz w:val="20"/>
          <w:szCs w:val="20"/>
        </w:rPr>
        <w:t xml:space="preserve"> area of the lighting pole. A watertight twist-lock power receptacle and plug shall be provided for de-energizing the luminaire ring during raising and lowering operations and providing power for testing luminaires in the lowered position.</w:t>
      </w:r>
    </w:p>
    <w:p w14:paraId="20913B5C" w14:textId="3C1E0ED4" w:rsidR="00A00E1B" w:rsidRDefault="00A00E1B" w:rsidP="00F83B23">
      <w:pPr>
        <w:pStyle w:val="Pa1"/>
        <w:numPr>
          <w:ilvl w:val="0"/>
          <w:numId w:val="2"/>
        </w:numPr>
        <w:spacing w:after="240" w:line="240" w:lineRule="auto"/>
        <w:jc w:val="both"/>
        <w:rPr>
          <w:rStyle w:val="A0"/>
          <w:rFonts w:ascii="Arial" w:hAnsi="Arial" w:cs="Arial"/>
          <w:sz w:val="20"/>
          <w:szCs w:val="20"/>
        </w:rPr>
      </w:pPr>
      <w:r w:rsidRPr="00A00E1B">
        <w:rPr>
          <w:rStyle w:val="A0"/>
          <w:rFonts w:ascii="Arial" w:hAnsi="Arial" w:cs="Arial"/>
          <w:b/>
          <w:bCs/>
          <w:sz w:val="20"/>
          <w:szCs w:val="20"/>
        </w:rPr>
        <w:t xml:space="preserve">Ballast: </w:t>
      </w:r>
      <w:r w:rsidRPr="00A00E1B">
        <w:rPr>
          <w:rStyle w:val="A0"/>
          <w:rFonts w:ascii="Arial" w:hAnsi="Arial" w:cs="Arial"/>
          <w:sz w:val="20"/>
          <w:szCs w:val="20"/>
        </w:rPr>
        <w:t xml:space="preserve">The ballast shall be compatible with the luminaire and shall be a multi-volt type capable of operating on 120-, 208-, 240-, and 277-volt electrical services. Ballasts for luminaires with lamp wattages of 150 watts or less may be non-regulating or regulating, having a power factor of more than 90 percent. Ballasts for luminaires with lamp wattages more than 150 watts shall be regulating. Non-regulating ballasts shall regulate lamp wattage within a line voltage variation of ±5 percent. Regulating ballasts shall regulate lamp wattage within a line voltage variation of ±10 percent. The Contractor shall certify that ballasts serving high-pressure sodium luminaires have a volt watt characteristic curve that intersects the </w:t>
      </w:r>
      <w:proofErr w:type="gramStart"/>
      <w:r w:rsidRPr="00A00E1B">
        <w:rPr>
          <w:rStyle w:val="A0"/>
          <w:rFonts w:ascii="Arial" w:hAnsi="Arial" w:cs="Arial"/>
          <w:sz w:val="20"/>
          <w:szCs w:val="20"/>
        </w:rPr>
        <w:t>lamp voltage limit lines</w:t>
      </w:r>
      <w:proofErr w:type="gramEnd"/>
      <w:r w:rsidRPr="00A00E1B">
        <w:rPr>
          <w:rStyle w:val="A0"/>
          <w:rFonts w:ascii="Arial" w:hAnsi="Arial" w:cs="Arial"/>
          <w:sz w:val="20"/>
          <w:szCs w:val="20"/>
        </w:rPr>
        <w:t xml:space="preserve"> at points between the wattage limit lines throughout the full range of the lamp life and rated ballast line voltages. The basic and allowed variable volt-watt characteristic curves shall not intersect the wattage limit lines.</w:t>
      </w:r>
    </w:p>
    <w:p w14:paraId="4245D390" w14:textId="77777777" w:rsidR="00A00E1B" w:rsidRDefault="00A00E1B" w:rsidP="00F83B23">
      <w:pPr>
        <w:pStyle w:val="Pa1"/>
        <w:spacing w:after="240" w:line="240" w:lineRule="auto"/>
        <w:ind w:left="360"/>
        <w:jc w:val="both"/>
        <w:rPr>
          <w:rStyle w:val="A0"/>
          <w:rFonts w:ascii="Arial" w:hAnsi="Arial" w:cs="Arial"/>
          <w:sz w:val="20"/>
          <w:szCs w:val="20"/>
        </w:rPr>
      </w:pPr>
      <w:r w:rsidRPr="00A00E1B">
        <w:rPr>
          <w:rStyle w:val="A0"/>
          <w:rFonts w:ascii="Arial" w:hAnsi="Arial" w:cs="Arial"/>
          <w:sz w:val="20"/>
          <w:szCs w:val="20"/>
        </w:rPr>
        <w:t>Ballasts and starting aids shall be capable of operating with the lamp in an open condition for 6 months without significant loss of ballast life and starting the lamp at temperatures as low as -20 degrees F.</w:t>
      </w:r>
    </w:p>
    <w:p w14:paraId="3442DF6C" w14:textId="713036EF" w:rsidR="00A00E1B" w:rsidRDefault="00A00E1B" w:rsidP="00F83B23">
      <w:pPr>
        <w:pStyle w:val="Pa1"/>
        <w:numPr>
          <w:ilvl w:val="0"/>
          <w:numId w:val="2"/>
        </w:numPr>
        <w:spacing w:after="240" w:line="240" w:lineRule="auto"/>
        <w:jc w:val="both"/>
        <w:rPr>
          <w:rStyle w:val="A0"/>
          <w:rFonts w:ascii="Arial" w:hAnsi="Arial" w:cs="Arial"/>
          <w:sz w:val="20"/>
          <w:szCs w:val="20"/>
        </w:rPr>
      </w:pPr>
      <w:r w:rsidRPr="00A00E1B">
        <w:rPr>
          <w:rStyle w:val="A0"/>
          <w:rFonts w:ascii="Arial" w:hAnsi="Arial" w:cs="Arial"/>
          <w:b/>
          <w:bCs/>
          <w:sz w:val="20"/>
          <w:szCs w:val="20"/>
        </w:rPr>
        <w:t>Control Centers:</w:t>
      </w:r>
      <w:r w:rsidRPr="00F83B23">
        <w:rPr>
          <w:rStyle w:val="A0"/>
          <w:rFonts w:ascii="Arial" w:hAnsi="Arial" w:cs="Arial"/>
          <w:bCs/>
          <w:sz w:val="20"/>
          <w:szCs w:val="20"/>
        </w:rPr>
        <w:t xml:space="preserve"> </w:t>
      </w:r>
      <w:r w:rsidRPr="00A00E1B">
        <w:rPr>
          <w:rStyle w:val="A0"/>
          <w:rFonts w:ascii="Arial" w:hAnsi="Arial" w:cs="Arial"/>
          <w:sz w:val="20"/>
          <w:szCs w:val="20"/>
        </w:rPr>
        <w:t xml:space="preserve">Enclosures for control centers shall be NEMA 3R with provisions for locking. Electrical equipment shall be UL listed for the use indicated on the plans. Door openings for control center cabinets shall be at least 8 inches wider than the enclosed widest </w:t>
      </w:r>
      <w:proofErr w:type="spellStart"/>
      <w:r w:rsidRPr="00A00E1B">
        <w:rPr>
          <w:rStyle w:val="A0"/>
          <w:rFonts w:ascii="Arial" w:hAnsi="Arial" w:cs="Arial"/>
          <w:sz w:val="20"/>
          <w:szCs w:val="20"/>
        </w:rPr>
        <w:t>panelboard</w:t>
      </w:r>
      <w:proofErr w:type="spellEnd"/>
      <w:r w:rsidRPr="00A00E1B">
        <w:rPr>
          <w:rStyle w:val="A0"/>
          <w:rFonts w:ascii="Arial" w:hAnsi="Arial" w:cs="Arial"/>
          <w:sz w:val="20"/>
          <w:szCs w:val="20"/>
        </w:rPr>
        <w:t xml:space="preserve"> or other installed equipment, whichever is wider. When multiple door control centers are provided, the door openings for each door shall be identical.</w:t>
      </w:r>
    </w:p>
    <w:p w14:paraId="1E573BA7" w14:textId="77777777" w:rsidR="00A00E1B" w:rsidRDefault="00A00E1B" w:rsidP="00F83B23">
      <w:pPr>
        <w:pStyle w:val="Pa1"/>
        <w:spacing w:after="240" w:line="240" w:lineRule="auto"/>
        <w:ind w:left="360"/>
        <w:jc w:val="both"/>
        <w:rPr>
          <w:rStyle w:val="A0"/>
          <w:rFonts w:ascii="Arial" w:hAnsi="Arial" w:cs="Arial"/>
          <w:sz w:val="20"/>
          <w:szCs w:val="20"/>
        </w:rPr>
      </w:pPr>
      <w:r w:rsidRPr="00A00E1B">
        <w:rPr>
          <w:rStyle w:val="A0"/>
          <w:rFonts w:ascii="Arial" w:hAnsi="Arial" w:cs="Arial"/>
          <w:sz w:val="20"/>
          <w:szCs w:val="20"/>
        </w:rPr>
        <w:t>Control Centers shall have an automatic on/off door switch located in the cabinet frame so that it will provide for the unobstructed illumination of electrical items inside the cabinet. Each door switch shall be connected to the 120-volt, single-phase, AC power line for operation of the lamp (number of lamps and wattage depends on the cabinet size). The switches shall turn light on continuously when any door is in the open position. At least one 120-Volt, 20- ampere Ground-Fault Circuit Interrupter (GFCI) duplex receptacle with LED indicator shall be installed in each electrical cabinet.</w:t>
      </w:r>
    </w:p>
    <w:p w14:paraId="79DB1C1B" w14:textId="77777777" w:rsidR="00A00E1B" w:rsidRDefault="00A00E1B" w:rsidP="00F83B23">
      <w:pPr>
        <w:pStyle w:val="Pa1"/>
        <w:numPr>
          <w:ilvl w:val="0"/>
          <w:numId w:val="2"/>
        </w:numPr>
        <w:spacing w:after="240" w:line="240" w:lineRule="auto"/>
        <w:jc w:val="both"/>
        <w:rPr>
          <w:rStyle w:val="A0"/>
          <w:rFonts w:ascii="Arial" w:hAnsi="Arial" w:cs="Arial"/>
          <w:sz w:val="20"/>
          <w:szCs w:val="20"/>
        </w:rPr>
      </w:pPr>
      <w:r w:rsidRPr="00A00E1B">
        <w:rPr>
          <w:rStyle w:val="A0"/>
          <w:rFonts w:ascii="Arial" w:hAnsi="Arial" w:cs="Arial"/>
          <w:b/>
          <w:bCs/>
          <w:sz w:val="20"/>
          <w:szCs w:val="20"/>
        </w:rPr>
        <w:t>Testing Electrical Components:</w:t>
      </w:r>
      <w:r w:rsidRPr="00F83B23">
        <w:rPr>
          <w:rStyle w:val="A0"/>
          <w:rFonts w:ascii="Arial" w:hAnsi="Arial" w:cs="Arial"/>
          <w:bCs/>
          <w:sz w:val="20"/>
          <w:szCs w:val="20"/>
        </w:rPr>
        <w:t xml:space="preserve"> </w:t>
      </w:r>
      <w:r w:rsidRPr="00A00E1B">
        <w:rPr>
          <w:rStyle w:val="A0"/>
          <w:rFonts w:ascii="Arial" w:hAnsi="Arial" w:cs="Arial"/>
          <w:sz w:val="20"/>
          <w:szCs w:val="20"/>
        </w:rPr>
        <w:t>After energizing the lighting system, the Contractor shall demonstrate to the Engineer that electrical components are in proper working order. Faulty components shall be repaired or replaced by the Contractor at his expense.</w:t>
      </w:r>
    </w:p>
    <w:p w14:paraId="1BD83F94" w14:textId="77777777" w:rsidR="00A00E1B" w:rsidRDefault="00A00E1B" w:rsidP="00F83B23">
      <w:pPr>
        <w:pStyle w:val="Pa1"/>
        <w:spacing w:after="240" w:line="240" w:lineRule="auto"/>
        <w:ind w:left="360"/>
        <w:jc w:val="both"/>
        <w:rPr>
          <w:rStyle w:val="A0"/>
          <w:rFonts w:ascii="Arial" w:hAnsi="Arial" w:cs="Arial"/>
          <w:sz w:val="20"/>
          <w:szCs w:val="20"/>
        </w:rPr>
      </w:pPr>
      <w:r w:rsidRPr="00A00E1B">
        <w:rPr>
          <w:rStyle w:val="A0"/>
          <w:rFonts w:ascii="Arial" w:hAnsi="Arial" w:cs="Arial"/>
          <w:sz w:val="20"/>
          <w:szCs w:val="20"/>
        </w:rPr>
        <w:t xml:space="preserve">The Contractor shall perform an operational test of the completed lighting system under normal operating conditions for at least </w:t>
      </w:r>
      <w:proofErr w:type="gramStart"/>
      <w:r w:rsidRPr="00A00E1B">
        <w:rPr>
          <w:rStyle w:val="A0"/>
          <w:rFonts w:ascii="Arial" w:hAnsi="Arial" w:cs="Arial"/>
          <w:sz w:val="20"/>
          <w:szCs w:val="20"/>
        </w:rPr>
        <w:t>3</w:t>
      </w:r>
      <w:proofErr w:type="gramEnd"/>
      <w:r w:rsidRPr="00A00E1B">
        <w:rPr>
          <w:rStyle w:val="A0"/>
          <w:rFonts w:ascii="Arial" w:hAnsi="Arial" w:cs="Arial"/>
          <w:sz w:val="20"/>
          <w:szCs w:val="20"/>
        </w:rPr>
        <w:t xml:space="preserve"> consecutive days. The Contractor shall provide the Engineer at least 48 </w:t>
      </w:r>
      <w:proofErr w:type="spellStart"/>
      <w:r w:rsidRPr="00A00E1B">
        <w:rPr>
          <w:rStyle w:val="A0"/>
          <w:rFonts w:ascii="Arial" w:hAnsi="Arial" w:cs="Arial"/>
          <w:sz w:val="20"/>
          <w:szCs w:val="20"/>
        </w:rPr>
        <w:t>hours notice</w:t>
      </w:r>
      <w:proofErr w:type="spellEnd"/>
      <w:r w:rsidRPr="00A00E1B">
        <w:rPr>
          <w:rStyle w:val="A0"/>
          <w:rFonts w:ascii="Arial" w:hAnsi="Arial" w:cs="Arial"/>
          <w:sz w:val="20"/>
          <w:szCs w:val="20"/>
        </w:rPr>
        <w:t xml:space="preserve"> prior to the start of the operational testing. Defective materials or improper installations shall be corrected by repairs or replaced by the Contractor at his expense.</w:t>
      </w:r>
    </w:p>
    <w:p w14:paraId="741DD95D" w14:textId="77777777" w:rsidR="00A00E1B" w:rsidRDefault="00A00E1B" w:rsidP="00F83B23">
      <w:pPr>
        <w:pStyle w:val="Pa1"/>
        <w:numPr>
          <w:ilvl w:val="0"/>
          <w:numId w:val="2"/>
        </w:numPr>
        <w:spacing w:after="240" w:line="240" w:lineRule="auto"/>
        <w:jc w:val="both"/>
        <w:rPr>
          <w:rStyle w:val="A0"/>
          <w:rFonts w:ascii="Arial" w:hAnsi="Arial" w:cs="Arial"/>
          <w:sz w:val="20"/>
          <w:szCs w:val="20"/>
        </w:rPr>
      </w:pPr>
      <w:r w:rsidRPr="00A00E1B">
        <w:rPr>
          <w:rStyle w:val="A0"/>
          <w:rFonts w:ascii="Arial" w:hAnsi="Arial" w:cs="Arial"/>
          <w:b/>
          <w:bCs/>
          <w:sz w:val="20"/>
          <w:szCs w:val="20"/>
        </w:rPr>
        <w:t>Electrical Equipment Containing Polychlorinated Biphenyl (PCB)</w:t>
      </w:r>
      <w:r w:rsidRPr="00F83B23">
        <w:rPr>
          <w:rStyle w:val="A0"/>
          <w:rFonts w:ascii="Arial" w:hAnsi="Arial" w:cs="Arial"/>
          <w:b/>
          <w:sz w:val="20"/>
          <w:szCs w:val="20"/>
        </w:rPr>
        <w:t>:</w:t>
      </w:r>
      <w:r w:rsidRPr="00A00E1B">
        <w:rPr>
          <w:rStyle w:val="A0"/>
          <w:rFonts w:ascii="Arial" w:hAnsi="Arial" w:cs="Arial"/>
          <w:sz w:val="20"/>
          <w:szCs w:val="20"/>
        </w:rPr>
        <w:t xml:space="preserve"> This work shall consist of determining, removing and disposing of electrical equipment containing PCB present as a dielectric fluid or paste. Electrical equipment that may contain PCB consists of, but is not limited to, capacitors, </w:t>
      </w:r>
      <w:proofErr w:type="gramStart"/>
      <w:r w:rsidRPr="00A00E1B">
        <w:rPr>
          <w:rStyle w:val="A0"/>
          <w:rFonts w:ascii="Arial" w:hAnsi="Arial" w:cs="Arial"/>
          <w:sz w:val="20"/>
          <w:szCs w:val="20"/>
        </w:rPr>
        <w:t>ballasts</w:t>
      </w:r>
      <w:proofErr w:type="gramEnd"/>
      <w:r w:rsidRPr="00A00E1B">
        <w:rPr>
          <w:rStyle w:val="A0"/>
          <w:rFonts w:ascii="Arial" w:hAnsi="Arial" w:cs="Arial"/>
          <w:sz w:val="20"/>
          <w:szCs w:val="20"/>
        </w:rPr>
        <w:t xml:space="preserve"> and transformers.</w:t>
      </w:r>
    </w:p>
    <w:p w14:paraId="361D5672" w14:textId="77777777" w:rsidR="00A00E1B" w:rsidRDefault="00A00E1B" w:rsidP="00F83B23">
      <w:pPr>
        <w:pStyle w:val="Pa1"/>
        <w:numPr>
          <w:ilvl w:val="1"/>
          <w:numId w:val="2"/>
        </w:numPr>
        <w:spacing w:after="240" w:line="240" w:lineRule="auto"/>
        <w:jc w:val="both"/>
        <w:rPr>
          <w:rStyle w:val="A0"/>
          <w:rFonts w:ascii="Arial" w:hAnsi="Arial" w:cs="Arial"/>
          <w:sz w:val="20"/>
          <w:szCs w:val="20"/>
        </w:rPr>
      </w:pPr>
      <w:r w:rsidRPr="00A00E1B">
        <w:rPr>
          <w:rStyle w:val="A0"/>
          <w:rFonts w:ascii="Arial" w:hAnsi="Arial" w:cs="Arial"/>
          <w:b/>
          <w:bCs/>
          <w:sz w:val="20"/>
          <w:szCs w:val="20"/>
        </w:rPr>
        <w:t>Determination:</w:t>
      </w:r>
      <w:r w:rsidRPr="00F83B23">
        <w:rPr>
          <w:rStyle w:val="A0"/>
          <w:rFonts w:ascii="Arial" w:hAnsi="Arial" w:cs="Arial"/>
          <w:bCs/>
          <w:sz w:val="20"/>
          <w:szCs w:val="20"/>
        </w:rPr>
        <w:t xml:space="preserve"> </w:t>
      </w:r>
      <w:r w:rsidRPr="00A00E1B">
        <w:rPr>
          <w:rStyle w:val="A0"/>
          <w:rFonts w:ascii="Arial" w:hAnsi="Arial" w:cs="Arial"/>
          <w:sz w:val="20"/>
          <w:szCs w:val="20"/>
        </w:rPr>
        <w:t>The Contractor shall determine if the electrical equipment that is to be removed contains PCB. This determination shall be made prior to removal of the equipment in accordance with the following:</w:t>
      </w:r>
    </w:p>
    <w:p w14:paraId="0D7FC31A" w14:textId="1CCF0FDB" w:rsidR="00A00E1B" w:rsidRDefault="00A00E1B" w:rsidP="00F83B23">
      <w:pPr>
        <w:pStyle w:val="Pa1"/>
        <w:numPr>
          <w:ilvl w:val="2"/>
          <w:numId w:val="2"/>
        </w:numPr>
        <w:spacing w:after="240" w:line="240" w:lineRule="auto"/>
        <w:jc w:val="both"/>
        <w:rPr>
          <w:rStyle w:val="A0"/>
          <w:rFonts w:ascii="Arial" w:hAnsi="Arial" w:cs="Arial"/>
          <w:sz w:val="20"/>
          <w:szCs w:val="20"/>
        </w:rPr>
      </w:pPr>
      <w:r w:rsidRPr="00A00E1B">
        <w:rPr>
          <w:rStyle w:val="A0"/>
          <w:rFonts w:ascii="Arial" w:hAnsi="Arial" w:cs="Arial"/>
          <w:sz w:val="20"/>
          <w:szCs w:val="20"/>
        </w:rPr>
        <w:t>Check the nameplate on the equipment to determine if any of the following trade names for PCB is indicated:</w:t>
      </w:r>
    </w:p>
    <w:tbl>
      <w:tblPr>
        <w:tblStyle w:val="TableGrid"/>
        <w:tblW w:w="0" w:type="auto"/>
        <w:tblInd w:w="1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5"/>
        <w:gridCol w:w="2758"/>
        <w:gridCol w:w="2759"/>
      </w:tblGrid>
      <w:tr w:rsidR="00A00E1B" w14:paraId="4EB4C260" w14:textId="77777777" w:rsidTr="00D557BF">
        <w:tc>
          <w:tcPr>
            <w:tcW w:w="2634" w:type="dxa"/>
          </w:tcPr>
          <w:p w14:paraId="554B5008" w14:textId="7A1D0B19" w:rsidR="00A00E1B" w:rsidRDefault="00A00E1B" w:rsidP="00A00E1B">
            <w:pPr>
              <w:pStyle w:val="Default"/>
            </w:pPr>
            <w:r w:rsidRPr="00A00E1B">
              <w:rPr>
                <w:rStyle w:val="A0"/>
                <w:rFonts w:ascii="Arial" w:hAnsi="Arial" w:cs="Arial"/>
                <w:color w:val="auto"/>
                <w:sz w:val="20"/>
                <w:szCs w:val="20"/>
              </w:rPr>
              <w:t>ALC</w:t>
            </w:r>
          </w:p>
        </w:tc>
        <w:tc>
          <w:tcPr>
            <w:tcW w:w="2832" w:type="dxa"/>
          </w:tcPr>
          <w:p w14:paraId="454A2A15" w14:textId="5F43DAD6" w:rsidR="00A00E1B" w:rsidRDefault="00A00E1B" w:rsidP="00A00E1B">
            <w:pPr>
              <w:pStyle w:val="Default"/>
            </w:pPr>
            <w:r w:rsidRPr="00A00E1B">
              <w:rPr>
                <w:rStyle w:val="A0"/>
                <w:rFonts w:ascii="Arial" w:hAnsi="Arial" w:cs="Arial"/>
                <w:color w:val="auto"/>
                <w:sz w:val="20"/>
                <w:szCs w:val="20"/>
              </w:rPr>
              <w:t>DK</w:t>
            </w:r>
          </w:p>
        </w:tc>
        <w:tc>
          <w:tcPr>
            <w:tcW w:w="2832" w:type="dxa"/>
          </w:tcPr>
          <w:p w14:paraId="493D460A" w14:textId="29744188" w:rsidR="00A00E1B" w:rsidRDefault="00A00E1B" w:rsidP="00A00E1B">
            <w:pPr>
              <w:pStyle w:val="Default"/>
            </w:pPr>
            <w:proofErr w:type="spellStart"/>
            <w:r w:rsidRPr="00A00E1B">
              <w:rPr>
                <w:rStyle w:val="A0"/>
                <w:rFonts w:ascii="Arial" w:hAnsi="Arial" w:cs="Arial"/>
                <w:color w:val="auto"/>
                <w:sz w:val="20"/>
                <w:szCs w:val="20"/>
              </w:rPr>
              <w:t>Nepolin</w:t>
            </w:r>
            <w:proofErr w:type="spellEnd"/>
          </w:p>
        </w:tc>
      </w:tr>
      <w:tr w:rsidR="00A00E1B" w14:paraId="5F13A264" w14:textId="77777777" w:rsidTr="00D557BF">
        <w:tc>
          <w:tcPr>
            <w:tcW w:w="2634" w:type="dxa"/>
          </w:tcPr>
          <w:p w14:paraId="0791C76D" w14:textId="76E05D79" w:rsidR="00A00E1B" w:rsidRDefault="00A00E1B" w:rsidP="00A00E1B">
            <w:pPr>
              <w:pStyle w:val="Default"/>
            </w:pPr>
            <w:proofErr w:type="spellStart"/>
            <w:r w:rsidRPr="00A00E1B">
              <w:rPr>
                <w:rStyle w:val="A0"/>
                <w:rFonts w:ascii="Arial" w:hAnsi="Arial" w:cs="Arial"/>
                <w:color w:val="auto"/>
                <w:sz w:val="20"/>
                <w:szCs w:val="20"/>
              </w:rPr>
              <w:lastRenderedPageBreak/>
              <w:t>Apirolio</w:t>
            </w:r>
            <w:proofErr w:type="spellEnd"/>
          </w:p>
        </w:tc>
        <w:tc>
          <w:tcPr>
            <w:tcW w:w="2832" w:type="dxa"/>
          </w:tcPr>
          <w:p w14:paraId="7E9C5F4F" w14:textId="3AA12855" w:rsidR="00A00E1B" w:rsidRDefault="00A00E1B" w:rsidP="00A00E1B">
            <w:pPr>
              <w:pStyle w:val="Default"/>
            </w:pPr>
            <w:proofErr w:type="spellStart"/>
            <w:r w:rsidRPr="00A00E1B">
              <w:rPr>
                <w:rStyle w:val="A0"/>
                <w:rFonts w:ascii="Arial" w:hAnsi="Arial" w:cs="Arial"/>
                <w:color w:val="auto"/>
                <w:sz w:val="20"/>
                <w:szCs w:val="20"/>
              </w:rPr>
              <w:t>Dykanol</w:t>
            </w:r>
            <w:proofErr w:type="spellEnd"/>
          </w:p>
        </w:tc>
        <w:tc>
          <w:tcPr>
            <w:tcW w:w="2832" w:type="dxa"/>
          </w:tcPr>
          <w:p w14:paraId="50015B2D" w14:textId="33D22546" w:rsidR="00A00E1B" w:rsidRDefault="00A00E1B" w:rsidP="00A00E1B">
            <w:pPr>
              <w:pStyle w:val="Default"/>
            </w:pPr>
            <w:r w:rsidRPr="00A00E1B">
              <w:rPr>
                <w:rStyle w:val="A0"/>
                <w:rFonts w:ascii="Arial" w:hAnsi="Arial" w:cs="Arial"/>
                <w:color w:val="auto"/>
                <w:sz w:val="20"/>
                <w:szCs w:val="20"/>
              </w:rPr>
              <w:t>Non-Flammable Liquid</w:t>
            </w:r>
          </w:p>
        </w:tc>
      </w:tr>
      <w:tr w:rsidR="00A00E1B" w14:paraId="7D6E4544" w14:textId="77777777" w:rsidTr="00D557BF">
        <w:tc>
          <w:tcPr>
            <w:tcW w:w="2634" w:type="dxa"/>
          </w:tcPr>
          <w:p w14:paraId="0F49B664" w14:textId="61EA1520" w:rsidR="00A00E1B" w:rsidRDefault="00A00E1B" w:rsidP="00A00E1B">
            <w:pPr>
              <w:pStyle w:val="Default"/>
            </w:pPr>
            <w:proofErr w:type="spellStart"/>
            <w:r w:rsidRPr="00A00E1B">
              <w:rPr>
                <w:rStyle w:val="A0"/>
                <w:rFonts w:ascii="Arial" w:hAnsi="Arial" w:cs="Arial"/>
                <w:color w:val="auto"/>
                <w:sz w:val="20"/>
                <w:szCs w:val="20"/>
              </w:rPr>
              <w:t>Aroclor</w:t>
            </w:r>
            <w:proofErr w:type="spellEnd"/>
          </w:p>
        </w:tc>
        <w:tc>
          <w:tcPr>
            <w:tcW w:w="2832" w:type="dxa"/>
          </w:tcPr>
          <w:p w14:paraId="19E6C890" w14:textId="72A404E7" w:rsidR="00A00E1B" w:rsidRDefault="00A00E1B" w:rsidP="00A00E1B">
            <w:pPr>
              <w:pStyle w:val="Default"/>
            </w:pPr>
            <w:r w:rsidRPr="00A00E1B">
              <w:rPr>
                <w:rStyle w:val="A0"/>
                <w:rFonts w:ascii="Arial" w:hAnsi="Arial" w:cs="Arial"/>
                <w:color w:val="auto"/>
                <w:sz w:val="20"/>
                <w:szCs w:val="20"/>
              </w:rPr>
              <w:t>EEC-18</w:t>
            </w:r>
          </w:p>
        </w:tc>
        <w:tc>
          <w:tcPr>
            <w:tcW w:w="2832" w:type="dxa"/>
          </w:tcPr>
          <w:p w14:paraId="45A8F290" w14:textId="31565492" w:rsidR="00A00E1B" w:rsidRDefault="00A00E1B" w:rsidP="00A00E1B">
            <w:pPr>
              <w:pStyle w:val="Default"/>
            </w:pPr>
            <w:r w:rsidRPr="00A00E1B">
              <w:rPr>
                <w:rStyle w:val="A0"/>
                <w:rFonts w:ascii="Arial" w:hAnsi="Arial" w:cs="Arial"/>
                <w:color w:val="auto"/>
                <w:sz w:val="20"/>
                <w:szCs w:val="20"/>
              </w:rPr>
              <w:t>No-</w:t>
            </w:r>
            <w:proofErr w:type="spellStart"/>
            <w:r w:rsidRPr="00A00E1B">
              <w:rPr>
                <w:rStyle w:val="A0"/>
                <w:rFonts w:ascii="Arial" w:hAnsi="Arial" w:cs="Arial"/>
                <w:color w:val="auto"/>
                <w:sz w:val="20"/>
                <w:szCs w:val="20"/>
              </w:rPr>
              <w:t>Flamol</w:t>
            </w:r>
            <w:proofErr w:type="spellEnd"/>
          </w:p>
        </w:tc>
      </w:tr>
      <w:tr w:rsidR="00A00E1B" w14:paraId="4B112016" w14:textId="77777777" w:rsidTr="00D557BF">
        <w:tc>
          <w:tcPr>
            <w:tcW w:w="2634" w:type="dxa"/>
          </w:tcPr>
          <w:p w14:paraId="15F40617" w14:textId="30C34C7E"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Aroclor</w:t>
            </w:r>
            <w:proofErr w:type="spellEnd"/>
            <w:r w:rsidRPr="00A00E1B">
              <w:rPr>
                <w:rStyle w:val="A0"/>
                <w:rFonts w:ascii="Arial" w:hAnsi="Arial" w:cs="Arial"/>
                <w:color w:val="auto"/>
                <w:sz w:val="20"/>
                <w:szCs w:val="20"/>
              </w:rPr>
              <w:t xml:space="preserve"> B</w:t>
            </w:r>
          </w:p>
        </w:tc>
        <w:tc>
          <w:tcPr>
            <w:tcW w:w="2832" w:type="dxa"/>
          </w:tcPr>
          <w:p w14:paraId="4D9A5C13" w14:textId="27666C34"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Elemex</w:t>
            </w:r>
            <w:proofErr w:type="spellEnd"/>
          </w:p>
        </w:tc>
        <w:tc>
          <w:tcPr>
            <w:tcW w:w="2832" w:type="dxa"/>
          </w:tcPr>
          <w:p w14:paraId="35CB15D3" w14:textId="2BE4D01D"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Phenoclor</w:t>
            </w:r>
            <w:proofErr w:type="spellEnd"/>
          </w:p>
        </w:tc>
      </w:tr>
      <w:tr w:rsidR="00A00E1B" w14:paraId="601591BB" w14:textId="77777777" w:rsidTr="00D557BF">
        <w:tc>
          <w:tcPr>
            <w:tcW w:w="2634" w:type="dxa"/>
          </w:tcPr>
          <w:p w14:paraId="0E32D5FC" w14:textId="4BDB3BE0"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Asbestol</w:t>
            </w:r>
            <w:proofErr w:type="spellEnd"/>
          </w:p>
        </w:tc>
        <w:tc>
          <w:tcPr>
            <w:tcW w:w="2832" w:type="dxa"/>
          </w:tcPr>
          <w:p w14:paraId="4F47E2E3" w14:textId="213BD6AD"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Eucarel</w:t>
            </w:r>
            <w:proofErr w:type="spellEnd"/>
          </w:p>
        </w:tc>
        <w:tc>
          <w:tcPr>
            <w:tcW w:w="2832" w:type="dxa"/>
          </w:tcPr>
          <w:p w14:paraId="13D7FD1A" w14:textId="3DAA233E"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Pydraul</w:t>
            </w:r>
            <w:proofErr w:type="spellEnd"/>
          </w:p>
        </w:tc>
      </w:tr>
      <w:tr w:rsidR="00A00E1B" w14:paraId="2C8E65BF" w14:textId="77777777" w:rsidTr="00D557BF">
        <w:tc>
          <w:tcPr>
            <w:tcW w:w="2634" w:type="dxa"/>
          </w:tcPr>
          <w:p w14:paraId="1DA12445" w14:textId="18D36E03" w:rsidR="00A00E1B" w:rsidRPr="00A00E1B" w:rsidRDefault="00A00E1B" w:rsidP="00A00E1B">
            <w:pPr>
              <w:pStyle w:val="Default"/>
              <w:rPr>
                <w:rStyle w:val="A0"/>
                <w:rFonts w:ascii="Arial" w:hAnsi="Arial" w:cs="Arial"/>
                <w:color w:val="auto"/>
                <w:sz w:val="20"/>
                <w:szCs w:val="20"/>
              </w:rPr>
            </w:pPr>
            <w:r w:rsidRPr="00A00E1B">
              <w:rPr>
                <w:rStyle w:val="A0"/>
                <w:rFonts w:ascii="Arial" w:hAnsi="Arial" w:cs="Arial"/>
                <w:color w:val="auto"/>
                <w:sz w:val="20"/>
                <w:szCs w:val="20"/>
              </w:rPr>
              <w:t>ASK</w:t>
            </w:r>
          </w:p>
        </w:tc>
        <w:tc>
          <w:tcPr>
            <w:tcW w:w="2832" w:type="dxa"/>
          </w:tcPr>
          <w:p w14:paraId="49F93D90" w14:textId="3AECDB73"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Fenclor</w:t>
            </w:r>
            <w:proofErr w:type="spellEnd"/>
          </w:p>
        </w:tc>
        <w:tc>
          <w:tcPr>
            <w:tcW w:w="2832" w:type="dxa"/>
          </w:tcPr>
          <w:p w14:paraId="79BB96A0" w14:textId="46E43CC8"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Pyralene</w:t>
            </w:r>
            <w:proofErr w:type="spellEnd"/>
          </w:p>
        </w:tc>
      </w:tr>
      <w:tr w:rsidR="00A00E1B" w14:paraId="5ED17F28" w14:textId="77777777" w:rsidTr="00D557BF">
        <w:tc>
          <w:tcPr>
            <w:tcW w:w="2634" w:type="dxa"/>
          </w:tcPr>
          <w:p w14:paraId="04C1EC82" w14:textId="7309F52F"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Askarel</w:t>
            </w:r>
            <w:proofErr w:type="spellEnd"/>
          </w:p>
        </w:tc>
        <w:tc>
          <w:tcPr>
            <w:tcW w:w="2832" w:type="dxa"/>
          </w:tcPr>
          <w:p w14:paraId="1E9AF246" w14:textId="4FAAE38F"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Hyvol</w:t>
            </w:r>
            <w:proofErr w:type="spellEnd"/>
          </w:p>
        </w:tc>
        <w:tc>
          <w:tcPr>
            <w:tcW w:w="2832" w:type="dxa"/>
          </w:tcPr>
          <w:p w14:paraId="394D2000" w14:textId="6904A8B0"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Pyranol</w:t>
            </w:r>
            <w:proofErr w:type="spellEnd"/>
          </w:p>
        </w:tc>
      </w:tr>
      <w:tr w:rsidR="00A00E1B" w14:paraId="1F817A4C" w14:textId="77777777" w:rsidTr="00D557BF">
        <w:tc>
          <w:tcPr>
            <w:tcW w:w="2634" w:type="dxa"/>
          </w:tcPr>
          <w:p w14:paraId="43A41E13" w14:textId="3AD65429" w:rsidR="00A00E1B" w:rsidRPr="00A00E1B" w:rsidRDefault="00A00E1B" w:rsidP="00A00E1B">
            <w:pPr>
              <w:pStyle w:val="Default"/>
              <w:rPr>
                <w:rStyle w:val="A0"/>
                <w:rFonts w:ascii="Arial" w:hAnsi="Arial" w:cs="Arial"/>
                <w:color w:val="auto"/>
                <w:sz w:val="20"/>
                <w:szCs w:val="20"/>
              </w:rPr>
            </w:pPr>
            <w:r w:rsidRPr="00A00E1B">
              <w:rPr>
                <w:rStyle w:val="A0"/>
                <w:rFonts w:ascii="Arial" w:hAnsi="Arial" w:cs="Arial"/>
                <w:color w:val="auto"/>
                <w:sz w:val="20"/>
                <w:szCs w:val="20"/>
              </w:rPr>
              <w:t>Capacitor 21</w:t>
            </w:r>
          </w:p>
        </w:tc>
        <w:tc>
          <w:tcPr>
            <w:tcW w:w="2832" w:type="dxa"/>
          </w:tcPr>
          <w:p w14:paraId="0A2286C3" w14:textId="7E3F123D"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Iclor</w:t>
            </w:r>
            <w:proofErr w:type="spellEnd"/>
          </w:p>
        </w:tc>
        <w:tc>
          <w:tcPr>
            <w:tcW w:w="2832" w:type="dxa"/>
          </w:tcPr>
          <w:p w14:paraId="6998A1BB" w14:textId="75873AFB"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Pyroclor</w:t>
            </w:r>
            <w:proofErr w:type="spellEnd"/>
          </w:p>
        </w:tc>
      </w:tr>
      <w:tr w:rsidR="00A00E1B" w14:paraId="39F3E841" w14:textId="77777777" w:rsidTr="00D557BF">
        <w:tc>
          <w:tcPr>
            <w:tcW w:w="2634" w:type="dxa"/>
          </w:tcPr>
          <w:p w14:paraId="57947AA5" w14:textId="66A0757B"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Chlorextol</w:t>
            </w:r>
            <w:proofErr w:type="spellEnd"/>
          </w:p>
        </w:tc>
        <w:tc>
          <w:tcPr>
            <w:tcW w:w="2832" w:type="dxa"/>
          </w:tcPr>
          <w:p w14:paraId="7631F13E" w14:textId="2880C72A"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Interteen</w:t>
            </w:r>
            <w:proofErr w:type="spellEnd"/>
          </w:p>
        </w:tc>
        <w:tc>
          <w:tcPr>
            <w:tcW w:w="2832" w:type="dxa"/>
          </w:tcPr>
          <w:p w14:paraId="7500C78A" w14:textId="045CC8C0"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Saf</w:t>
            </w:r>
            <w:proofErr w:type="spellEnd"/>
            <w:r w:rsidRPr="00A00E1B">
              <w:rPr>
                <w:rStyle w:val="A0"/>
                <w:rFonts w:ascii="Arial" w:hAnsi="Arial" w:cs="Arial"/>
                <w:color w:val="auto"/>
                <w:sz w:val="20"/>
                <w:szCs w:val="20"/>
              </w:rPr>
              <w:t>-T-</w:t>
            </w:r>
            <w:proofErr w:type="spellStart"/>
            <w:r w:rsidRPr="00A00E1B">
              <w:rPr>
                <w:rStyle w:val="A0"/>
                <w:rFonts w:ascii="Arial" w:hAnsi="Arial" w:cs="Arial"/>
                <w:color w:val="auto"/>
                <w:sz w:val="20"/>
                <w:szCs w:val="20"/>
              </w:rPr>
              <w:t>Kuhl</w:t>
            </w:r>
            <w:proofErr w:type="spellEnd"/>
          </w:p>
        </w:tc>
      </w:tr>
      <w:tr w:rsidR="00A00E1B" w14:paraId="18BFF7E7" w14:textId="77777777" w:rsidTr="00D557BF">
        <w:tc>
          <w:tcPr>
            <w:tcW w:w="2634" w:type="dxa"/>
          </w:tcPr>
          <w:p w14:paraId="3681A80A" w14:textId="4FD9388C"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Chlorinol</w:t>
            </w:r>
            <w:proofErr w:type="spellEnd"/>
          </w:p>
        </w:tc>
        <w:tc>
          <w:tcPr>
            <w:tcW w:w="2832" w:type="dxa"/>
          </w:tcPr>
          <w:p w14:paraId="27184FA4" w14:textId="3F9E787A"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Kanechlor</w:t>
            </w:r>
            <w:proofErr w:type="spellEnd"/>
          </w:p>
        </w:tc>
        <w:tc>
          <w:tcPr>
            <w:tcW w:w="2832" w:type="dxa"/>
          </w:tcPr>
          <w:p w14:paraId="6AB40F68" w14:textId="19B0B900"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Santotherm</w:t>
            </w:r>
            <w:proofErr w:type="spellEnd"/>
          </w:p>
        </w:tc>
      </w:tr>
      <w:tr w:rsidR="00A00E1B" w14:paraId="61750C62" w14:textId="77777777" w:rsidTr="00D557BF">
        <w:tc>
          <w:tcPr>
            <w:tcW w:w="2634" w:type="dxa"/>
          </w:tcPr>
          <w:p w14:paraId="2A20EE4C" w14:textId="53549AEE"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Clorinol</w:t>
            </w:r>
            <w:proofErr w:type="spellEnd"/>
          </w:p>
        </w:tc>
        <w:tc>
          <w:tcPr>
            <w:tcW w:w="2832" w:type="dxa"/>
          </w:tcPr>
          <w:p w14:paraId="4C62AE81" w14:textId="7DC50F6B"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Kennechlor</w:t>
            </w:r>
            <w:proofErr w:type="spellEnd"/>
          </w:p>
        </w:tc>
        <w:tc>
          <w:tcPr>
            <w:tcW w:w="2832" w:type="dxa"/>
          </w:tcPr>
          <w:p w14:paraId="00CD5CFD" w14:textId="7495FECA"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Santotherm</w:t>
            </w:r>
            <w:proofErr w:type="spellEnd"/>
            <w:r w:rsidRPr="00A00E1B">
              <w:rPr>
                <w:rStyle w:val="A0"/>
                <w:rFonts w:ascii="Arial" w:hAnsi="Arial" w:cs="Arial"/>
                <w:color w:val="auto"/>
                <w:sz w:val="20"/>
                <w:szCs w:val="20"/>
              </w:rPr>
              <w:t xml:space="preserve"> FR</w:t>
            </w:r>
          </w:p>
        </w:tc>
      </w:tr>
      <w:tr w:rsidR="00A00E1B" w14:paraId="6AC02A89" w14:textId="77777777" w:rsidTr="00D557BF">
        <w:tc>
          <w:tcPr>
            <w:tcW w:w="2634" w:type="dxa"/>
          </w:tcPr>
          <w:p w14:paraId="39278C5E" w14:textId="7E650CD8"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Clorphen</w:t>
            </w:r>
            <w:proofErr w:type="spellEnd"/>
          </w:p>
        </w:tc>
        <w:tc>
          <w:tcPr>
            <w:tcW w:w="2832" w:type="dxa"/>
          </w:tcPr>
          <w:p w14:paraId="3D40D641" w14:textId="631A1CB5"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Magvar</w:t>
            </w:r>
            <w:proofErr w:type="spellEnd"/>
          </w:p>
        </w:tc>
        <w:tc>
          <w:tcPr>
            <w:tcW w:w="2832" w:type="dxa"/>
          </w:tcPr>
          <w:p w14:paraId="7B6848DC" w14:textId="075EC8E2"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Santovac</w:t>
            </w:r>
            <w:proofErr w:type="spellEnd"/>
            <w:r w:rsidRPr="00A00E1B">
              <w:rPr>
                <w:rStyle w:val="A0"/>
                <w:rFonts w:ascii="Arial" w:hAnsi="Arial" w:cs="Arial"/>
                <w:color w:val="auto"/>
                <w:sz w:val="20"/>
                <w:szCs w:val="20"/>
              </w:rPr>
              <w:t xml:space="preserve"> 1 and 2</w:t>
            </w:r>
          </w:p>
        </w:tc>
      </w:tr>
      <w:tr w:rsidR="00A00E1B" w14:paraId="1A87177C" w14:textId="77777777" w:rsidTr="00D557BF">
        <w:tc>
          <w:tcPr>
            <w:tcW w:w="2634" w:type="dxa"/>
          </w:tcPr>
          <w:p w14:paraId="795A1632" w14:textId="0911C3F9"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Diaclor</w:t>
            </w:r>
            <w:proofErr w:type="spellEnd"/>
          </w:p>
        </w:tc>
        <w:tc>
          <w:tcPr>
            <w:tcW w:w="2832" w:type="dxa"/>
          </w:tcPr>
          <w:p w14:paraId="101286C9" w14:textId="62862D78" w:rsidR="00A00E1B" w:rsidRPr="00A00E1B" w:rsidRDefault="00A00E1B" w:rsidP="00A00E1B">
            <w:pPr>
              <w:pStyle w:val="Default"/>
              <w:rPr>
                <w:rStyle w:val="A0"/>
                <w:rFonts w:ascii="Arial" w:hAnsi="Arial" w:cs="Arial"/>
                <w:color w:val="auto"/>
                <w:sz w:val="20"/>
                <w:szCs w:val="20"/>
              </w:rPr>
            </w:pPr>
            <w:r w:rsidRPr="00A00E1B">
              <w:rPr>
                <w:rStyle w:val="A0"/>
                <w:rFonts w:ascii="Arial" w:hAnsi="Arial" w:cs="Arial"/>
                <w:color w:val="auto"/>
                <w:sz w:val="20"/>
                <w:szCs w:val="20"/>
              </w:rPr>
              <w:t>MCS 1489</w:t>
            </w:r>
          </w:p>
        </w:tc>
        <w:tc>
          <w:tcPr>
            <w:tcW w:w="2832" w:type="dxa"/>
          </w:tcPr>
          <w:p w14:paraId="31C981D8" w14:textId="30F530B7" w:rsidR="00A00E1B" w:rsidRPr="00A00E1B" w:rsidRDefault="00A00E1B" w:rsidP="00A00E1B">
            <w:pPr>
              <w:pStyle w:val="Default"/>
              <w:rPr>
                <w:rStyle w:val="A0"/>
                <w:rFonts w:ascii="Arial" w:hAnsi="Arial" w:cs="Arial"/>
                <w:color w:val="auto"/>
                <w:sz w:val="20"/>
                <w:szCs w:val="20"/>
              </w:rPr>
            </w:pPr>
            <w:proofErr w:type="spellStart"/>
            <w:r w:rsidRPr="00A00E1B">
              <w:rPr>
                <w:rStyle w:val="A0"/>
                <w:rFonts w:ascii="Arial" w:hAnsi="Arial" w:cs="Arial"/>
                <w:color w:val="auto"/>
                <w:sz w:val="20"/>
                <w:szCs w:val="20"/>
              </w:rPr>
              <w:t>Therminol</w:t>
            </w:r>
            <w:proofErr w:type="spellEnd"/>
          </w:p>
        </w:tc>
      </w:tr>
    </w:tbl>
    <w:p w14:paraId="64272D36" w14:textId="436C6897" w:rsidR="00A00E1B" w:rsidRPr="00A00E1B" w:rsidRDefault="00A00E1B" w:rsidP="00F83B23">
      <w:pPr>
        <w:pStyle w:val="Pa7"/>
        <w:spacing w:line="240" w:lineRule="auto"/>
        <w:ind w:left="1440"/>
        <w:jc w:val="both"/>
        <w:rPr>
          <w:rFonts w:ascii="Arial" w:hAnsi="Arial" w:cs="Arial"/>
          <w:sz w:val="20"/>
          <w:szCs w:val="20"/>
        </w:rPr>
      </w:pPr>
    </w:p>
    <w:p w14:paraId="55DD047A" w14:textId="7863557F" w:rsidR="00A00E1B" w:rsidRPr="00A00E1B" w:rsidRDefault="00A00E1B" w:rsidP="00F83B23">
      <w:pPr>
        <w:pStyle w:val="Pa3"/>
        <w:numPr>
          <w:ilvl w:val="2"/>
          <w:numId w:val="2"/>
        </w:numPr>
        <w:spacing w:after="240" w:line="240" w:lineRule="auto"/>
        <w:jc w:val="both"/>
        <w:rPr>
          <w:rStyle w:val="A0"/>
          <w:rFonts w:ascii="Arial" w:hAnsi="Arial" w:cs="Arial"/>
          <w:color w:val="auto"/>
          <w:sz w:val="20"/>
          <w:szCs w:val="20"/>
        </w:rPr>
      </w:pPr>
      <w:r w:rsidRPr="00A00E1B">
        <w:rPr>
          <w:rStyle w:val="A0"/>
          <w:rFonts w:ascii="Arial" w:hAnsi="Arial" w:cs="Arial"/>
          <w:sz w:val="20"/>
          <w:szCs w:val="20"/>
        </w:rPr>
        <w:t>If these trade names are not indicated on the nameplate of the equipment and the equipment is not labeled as containing PCB, the Contractor shall contact the equipment manufacturer for a determination of the existence of PCB in that equipment. The Contractor shall provide the information requested by the manufacturer, which will include at least the type, model, and serial number of the equipment. If the manufacturer indicates PCB does not exist in the equipment, the Contractor shall request that documentation in writing on the manufacturing company’s letterhead stationery. The documentation shall include all information needed to verify the absence of PCB in the piece of equipment referenced.</w:t>
      </w:r>
    </w:p>
    <w:p w14:paraId="114629C3" w14:textId="15D3F2DC" w:rsidR="00A00E1B" w:rsidRPr="00A00E1B" w:rsidRDefault="00A00E1B" w:rsidP="00F83B23">
      <w:pPr>
        <w:pStyle w:val="Pa3"/>
        <w:numPr>
          <w:ilvl w:val="2"/>
          <w:numId w:val="2"/>
        </w:numPr>
        <w:spacing w:after="240" w:line="240" w:lineRule="auto"/>
        <w:jc w:val="both"/>
        <w:rPr>
          <w:rStyle w:val="A0"/>
          <w:rFonts w:ascii="Arial" w:hAnsi="Arial" w:cs="Arial"/>
          <w:color w:val="auto"/>
          <w:sz w:val="20"/>
          <w:szCs w:val="20"/>
        </w:rPr>
      </w:pPr>
      <w:r w:rsidRPr="00A00E1B">
        <w:rPr>
          <w:rStyle w:val="A0"/>
          <w:rFonts w:ascii="Arial" w:hAnsi="Arial" w:cs="Arial"/>
          <w:sz w:val="20"/>
          <w:szCs w:val="20"/>
        </w:rPr>
        <w:t>If the procedures herein do not allow determination of the existence of PCB or if the manufacturer will not provide the necessary documentation in writing, the Contractor shall assume that PCB is contained within that equipment.</w:t>
      </w:r>
    </w:p>
    <w:p w14:paraId="02846685" w14:textId="7F189000" w:rsidR="00A00E1B" w:rsidRPr="00A00E1B" w:rsidRDefault="00A00E1B" w:rsidP="00F83B23">
      <w:pPr>
        <w:pStyle w:val="Pa3"/>
        <w:numPr>
          <w:ilvl w:val="2"/>
          <w:numId w:val="2"/>
        </w:numPr>
        <w:spacing w:after="240" w:line="240" w:lineRule="auto"/>
        <w:jc w:val="both"/>
        <w:rPr>
          <w:rStyle w:val="A0"/>
          <w:rFonts w:ascii="Arial" w:hAnsi="Arial" w:cs="Arial"/>
          <w:color w:val="auto"/>
          <w:sz w:val="20"/>
          <w:szCs w:val="20"/>
        </w:rPr>
      </w:pPr>
      <w:r w:rsidRPr="00A00E1B">
        <w:rPr>
          <w:rStyle w:val="A0"/>
          <w:rFonts w:ascii="Arial" w:hAnsi="Arial" w:cs="Arial"/>
          <w:sz w:val="20"/>
          <w:szCs w:val="20"/>
        </w:rPr>
        <w:t xml:space="preserve">The Contractor shall notify the Engineer in writing of the determination of the existence of PCB in each piece of electrical equipment </w:t>
      </w:r>
      <w:proofErr w:type="gramStart"/>
      <w:r w:rsidRPr="00A00E1B">
        <w:rPr>
          <w:rStyle w:val="A0"/>
          <w:rFonts w:ascii="Arial" w:hAnsi="Arial" w:cs="Arial"/>
          <w:sz w:val="20"/>
          <w:szCs w:val="20"/>
        </w:rPr>
        <w:t>that contains or could contain PCBs</w:t>
      </w:r>
      <w:proofErr w:type="gramEnd"/>
      <w:r w:rsidRPr="00A00E1B">
        <w:rPr>
          <w:rStyle w:val="A0"/>
          <w:rFonts w:ascii="Arial" w:hAnsi="Arial" w:cs="Arial"/>
          <w:sz w:val="20"/>
          <w:szCs w:val="20"/>
        </w:rPr>
        <w:t>. This documentation shall also include the equipment company’s name, representative’s name, and telephone number for each company contacted to determine the existence of PCB. If the Contractor is able to obtain written confirmation from the manufacturer that PCB was not in a particular piece of equipment, the Contractor shall furnish the manufacturer’s original letter to the Engineer and retain a copy for their records.</w:t>
      </w:r>
    </w:p>
    <w:p w14:paraId="2F9DECF8" w14:textId="6C594509" w:rsidR="00A00E1B" w:rsidRPr="00A00E1B" w:rsidRDefault="00A00E1B" w:rsidP="00D557BF">
      <w:pPr>
        <w:pStyle w:val="Pa3"/>
        <w:numPr>
          <w:ilvl w:val="1"/>
          <w:numId w:val="2"/>
        </w:numPr>
        <w:spacing w:after="240" w:line="240" w:lineRule="auto"/>
        <w:jc w:val="both"/>
        <w:rPr>
          <w:rStyle w:val="A0"/>
          <w:rFonts w:ascii="Arial" w:hAnsi="Arial" w:cs="Arial"/>
          <w:color w:val="auto"/>
          <w:sz w:val="20"/>
          <w:szCs w:val="20"/>
        </w:rPr>
      </w:pPr>
      <w:r w:rsidRPr="00A00E1B">
        <w:rPr>
          <w:rStyle w:val="A0"/>
          <w:rFonts w:ascii="Arial" w:hAnsi="Arial" w:cs="Arial"/>
          <w:b/>
          <w:bCs/>
          <w:sz w:val="20"/>
          <w:szCs w:val="20"/>
        </w:rPr>
        <w:t>Removal and Disposal:</w:t>
      </w:r>
      <w:r w:rsidRPr="00F83B23">
        <w:rPr>
          <w:rStyle w:val="A0"/>
          <w:rFonts w:ascii="Arial" w:hAnsi="Arial" w:cs="Arial"/>
          <w:bCs/>
          <w:sz w:val="20"/>
          <w:szCs w:val="20"/>
        </w:rPr>
        <w:t xml:space="preserve"> </w:t>
      </w:r>
      <w:r w:rsidRPr="00A00E1B">
        <w:rPr>
          <w:rStyle w:val="A0"/>
          <w:rFonts w:ascii="Arial" w:hAnsi="Arial" w:cs="Arial"/>
          <w:sz w:val="20"/>
          <w:szCs w:val="20"/>
        </w:rPr>
        <w:t>The Contractor shall follow the Environmental Protection Agency’s guidelines and the Virginia Department of Environmental Quality’s guidelines for the spills, removal, transportation, and disposal of PCB-laden materials. The Contractor shall provide the shipping manifest and all other correspondence concerning the proper removal and disposal of PCB-laden materials to the Engineer.</w:t>
      </w:r>
    </w:p>
    <w:p w14:paraId="1647CFA4" w14:textId="4CFD3FEF" w:rsidR="00A00E1B" w:rsidRDefault="00A00E1B" w:rsidP="00F83B23">
      <w:pPr>
        <w:pStyle w:val="Pa3"/>
        <w:spacing w:after="240" w:line="240" w:lineRule="auto"/>
        <w:jc w:val="both"/>
        <w:outlineLvl w:val="1"/>
        <w:rPr>
          <w:rStyle w:val="A0"/>
          <w:rFonts w:ascii="Arial" w:hAnsi="Arial" w:cs="Arial"/>
          <w:b/>
          <w:bCs/>
          <w:sz w:val="20"/>
          <w:szCs w:val="20"/>
        </w:rPr>
      </w:pPr>
      <w:proofErr w:type="gramStart"/>
      <w:r>
        <w:rPr>
          <w:rStyle w:val="A0"/>
          <w:rFonts w:ascii="Arial" w:hAnsi="Arial" w:cs="Arial"/>
          <w:b/>
          <w:bCs/>
          <w:sz w:val="20"/>
          <w:szCs w:val="20"/>
        </w:rPr>
        <w:t>705.04</w:t>
      </w:r>
      <w:proofErr w:type="gramEnd"/>
      <w:r>
        <w:rPr>
          <w:rStyle w:val="A0"/>
          <w:rFonts w:ascii="Arial" w:hAnsi="Arial" w:cs="Arial"/>
          <w:b/>
          <w:bCs/>
          <w:sz w:val="20"/>
          <w:szCs w:val="20"/>
        </w:rPr>
        <w:t xml:space="preserve"> – </w:t>
      </w:r>
      <w:r w:rsidRPr="00A00E1B">
        <w:rPr>
          <w:rStyle w:val="A0"/>
          <w:rFonts w:ascii="Arial" w:hAnsi="Arial" w:cs="Arial"/>
          <w:b/>
          <w:bCs/>
          <w:sz w:val="20"/>
          <w:szCs w:val="20"/>
        </w:rPr>
        <w:t>Measurement and Payment</w:t>
      </w:r>
    </w:p>
    <w:p w14:paraId="4E4E6D2D" w14:textId="77777777" w:rsidR="00A00E1B" w:rsidRDefault="00A00E1B" w:rsidP="00F83B23">
      <w:pPr>
        <w:pStyle w:val="Pa3"/>
        <w:spacing w:after="240" w:line="240" w:lineRule="auto"/>
        <w:jc w:val="both"/>
        <w:rPr>
          <w:rStyle w:val="A0"/>
          <w:rFonts w:ascii="Arial" w:hAnsi="Arial" w:cs="Arial"/>
          <w:sz w:val="20"/>
          <w:szCs w:val="20"/>
        </w:rPr>
      </w:pPr>
      <w:r w:rsidRPr="00A00E1B">
        <w:rPr>
          <w:rStyle w:val="A0"/>
          <w:rFonts w:ascii="Arial" w:hAnsi="Arial" w:cs="Arial"/>
          <w:b/>
          <w:bCs/>
          <w:sz w:val="20"/>
          <w:szCs w:val="20"/>
        </w:rPr>
        <w:t>Luminaires</w:t>
      </w:r>
      <w:r w:rsidRPr="00F83B23">
        <w:rPr>
          <w:rStyle w:val="A0"/>
          <w:rFonts w:ascii="Arial" w:hAnsi="Arial" w:cs="Arial"/>
          <w:bCs/>
          <w:sz w:val="20"/>
          <w:szCs w:val="20"/>
        </w:rPr>
        <w:t xml:space="preserve"> </w:t>
      </w:r>
      <w:r w:rsidRPr="00A00E1B">
        <w:rPr>
          <w:rStyle w:val="A0"/>
          <w:rFonts w:ascii="Arial" w:hAnsi="Arial" w:cs="Arial"/>
          <w:sz w:val="20"/>
          <w:szCs w:val="20"/>
        </w:rPr>
        <w:t>will be measured in units of each and will be paid for at the contract unit price per each for the wattage and type specified. This price shall include the luminaire body; slip fitters, refractors, ballasts, reflectors, sockets with lamps, conductor cables to the termini at the base, photoelectric controls and sockets, and adjustment and testing. Luminaires for sign lighting will not be measured for separate payment but shall be included in the price for overhead and sign structures.</w:t>
      </w:r>
    </w:p>
    <w:p w14:paraId="3D9E450A" w14:textId="77777777" w:rsidR="00A00E1B" w:rsidRDefault="00A00E1B" w:rsidP="00F83B23">
      <w:pPr>
        <w:pStyle w:val="Pa3"/>
        <w:spacing w:after="240" w:line="240" w:lineRule="auto"/>
        <w:jc w:val="both"/>
        <w:rPr>
          <w:rStyle w:val="A0"/>
          <w:rFonts w:ascii="Arial" w:hAnsi="Arial" w:cs="Arial"/>
          <w:sz w:val="20"/>
          <w:szCs w:val="20"/>
        </w:rPr>
      </w:pPr>
      <w:r w:rsidRPr="00A00E1B">
        <w:rPr>
          <w:rStyle w:val="A0"/>
          <w:rFonts w:ascii="Arial" w:hAnsi="Arial" w:cs="Arial"/>
          <w:b/>
          <w:bCs/>
          <w:sz w:val="20"/>
          <w:szCs w:val="20"/>
        </w:rPr>
        <w:t>High-mast luminaire assemblies</w:t>
      </w:r>
      <w:r w:rsidRPr="00F83B23">
        <w:rPr>
          <w:rStyle w:val="A0"/>
          <w:rFonts w:ascii="Arial" w:hAnsi="Arial" w:cs="Arial"/>
          <w:bCs/>
          <w:sz w:val="20"/>
          <w:szCs w:val="20"/>
        </w:rPr>
        <w:t xml:space="preserve"> </w:t>
      </w:r>
      <w:r w:rsidRPr="00A00E1B">
        <w:rPr>
          <w:rStyle w:val="A0"/>
          <w:rFonts w:ascii="Arial" w:hAnsi="Arial" w:cs="Arial"/>
          <w:sz w:val="20"/>
          <w:szCs w:val="20"/>
        </w:rPr>
        <w:t xml:space="preserve">will be measured in units of each and will be paid for at the contract unit price per each for the number of luminaires, wattage, and type specified. This price shall include the luminaire rings, lowering devices with head frames and assembly, winch assembly, electric raise/lower units, lowering cables, conductor cables to the termini at the base, luminaire units, lamps, photoelectric </w:t>
      </w:r>
      <w:proofErr w:type="gramStart"/>
      <w:r w:rsidRPr="00A00E1B">
        <w:rPr>
          <w:rStyle w:val="A0"/>
          <w:rFonts w:ascii="Arial" w:hAnsi="Arial" w:cs="Arial"/>
          <w:sz w:val="20"/>
          <w:szCs w:val="20"/>
        </w:rPr>
        <w:t>controls</w:t>
      </w:r>
      <w:proofErr w:type="gramEnd"/>
      <w:r w:rsidRPr="00A00E1B">
        <w:rPr>
          <w:rStyle w:val="A0"/>
          <w:rFonts w:ascii="Arial" w:hAnsi="Arial" w:cs="Arial"/>
          <w:sz w:val="20"/>
          <w:szCs w:val="20"/>
        </w:rPr>
        <w:t xml:space="preserve"> and sockets, testing and adjustments.</w:t>
      </w:r>
    </w:p>
    <w:p w14:paraId="305A98D0" w14:textId="040107D0" w:rsidR="00A00E1B" w:rsidRDefault="00A00E1B" w:rsidP="00F83B23">
      <w:pPr>
        <w:pStyle w:val="Pa3"/>
        <w:spacing w:after="240" w:line="240" w:lineRule="auto"/>
        <w:jc w:val="both"/>
        <w:rPr>
          <w:rStyle w:val="A0"/>
          <w:rFonts w:ascii="Arial" w:hAnsi="Arial" w:cs="Arial"/>
          <w:sz w:val="20"/>
          <w:szCs w:val="20"/>
        </w:rPr>
      </w:pPr>
      <w:r w:rsidRPr="00A00E1B">
        <w:rPr>
          <w:rStyle w:val="A0"/>
          <w:rFonts w:ascii="Arial" w:hAnsi="Arial" w:cs="Arial"/>
          <w:b/>
          <w:bCs/>
          <w:sz w:val="20"/>
          <w:szCs w:val="20"/>
        </w:rPr>
        <w:t>Control centers</w:t>
      </w:r>
      <w:r w:rsidRPr="00F83B23">
        <w:rPr>
          <w:rStyle w:val="A0"/>
          <w:rFonts w:ascii="Arial" w:hAnsi="Arial" w:cs="Arial"/>
          <w:bCs/>
          <w:sz w:val="20"/>
          <w:szCs w:val="20"/>
        </w:rPr>
        <w:t xml:space="preserve"> </w:t>
      </w:r>
      <w:r w:rsidRPr="00A00E1B">
        <w:rPr>
          <w:rStyle w:val="A0"/>
          <w:rFonts w:ascii="Arial" w:hAnsi="Arial" w:cs="Arial"/>
          <w:sz w:val="20"/>
          <w:szCs w:val="20"/>
        </w:rPr>
        <w:t xml:space="preserve">will be measured in units of each and will be paid for at the contract unit price per each for the standard and type specified. This price shall include the control center metal enclosures, conduits </w:t>
      </w:r>
      <w:r w:rsidRPr="00A00E1B">
        <w:rPr>
          <w:rStyle w:val="A0"/>
          <w:rFonts w:ascii="Arial" w:hAnsi="Arial" w:cs="Arial"/>
          <w:sz w:val="20"/>
          <w:szCs w:val="20"/>
        </w:rPr>
        <w:lastRenderedPageBreak/>
        <w:t>including fitting and straps, grounding electrode(s), conductor cables, anchor bolts and templates, exca</w:t>
      </w:r>
      <w:bookmarkStart w:id="0" w:name="_GoBack"/>
      <w:bookmarkEnd w:id="0"/>
      <w:r w:rsidRPr="00A00E1B">
        <w:rPr>
          <w:rStyle w:val="A0"/>
          <w:rFonts w:ascii="Arial" w:hAnsi="Arial" w:cs="Arial"/>
          <w:sz w:val="20"/>
          <w:szCs w:val="20"/>
        </w:rPr>
        <w:t>vating, concrete, safety switches, panel boards, contactors, circuit breakers, photoelectric controls, terminal blocks, selector switches, transient voltage surge suppressor, GFCI and GFCI enclosure, lighting fixture(s) including housing and lamp(s), door activated light switch, testing, and adjustment.</w:t>
      </w:r>
    </w:p>
    <w:p w14:paraId="64E6ADDF" w14:textId="77777777" w:rsidR="00A00E1B" w:rsidRDefault="00A00E1B" w:rsidP="00F83B23">
      <w:pPr>
        <w:pStyle w:val="Pa3"/>
        <w:spacing w:after="240" w:line="240" w:lineRule="auto"/>
        <w:jc w:val="both"/>
        <w:rPr>
          <w:rStyle w:val="A0"/>
          <w:rFonts w:ascii="Arial" w:hAnsi="Arial" w:cs="Arial"/>
          <w:sz w:val="20"/>
          <w:szCs w:val="20"/>
        </w:rPr>
      </w:pPr>
      <w:r w:rsidRPr="00A00E1B">
        <w:rPr>
          <w:rStyle w:val="A0"/>
          <w:rFonts w:ascii="Arial" w:hAnsi="Arial" w:cs="Arial"/>
          <w:b/>
          <w:bCs/>
          <w:sz w:val="20"/>
          <w:szCs w:val="20"/>
        </w:rPr>
        <w:t>Determination of electrical equipment containing PCB</w:t>
      </w:r>
      <w:r w:rsidRPr="00F83B23">
        <w:rPr>
          <w:rStyle w:val="A0"/>
          <w:rFonts w:ascii="Arial" w:hAnsi="Arial" w:cs="Arial"/>
          <w:bCs/>
          <w:sz w:val="20"/>
          <w:szCs w:val="20"/>
        </w:rPr>
        <w:t xml:space="preserve"> </w:t>
      </w:r>
      <w:r w:rsidRPr="00A00E1B">
        <w:rPr>
          <w:rStyle w:val="A0"/>
          <w:rFonts w:ascii="Arial" w:hAnsi="Arial" w:cs="Arial"/>
          <w:sz w:val="20"/>
          <w:szCs w:val="20"/>
        </w:rPr>
        <w:t>will not be measured for separate payment but the cost thereof shall be included in the price bid for the removal of the electrical equipment.</w:t>
      </w:r>
    </w:p>
    <w:p w14:paraId="4878A2B3" w14:textId="77777777" w:rsidR="00A00E1B" w:rsidRDefault="00A00E1B" w:rsidP="00F83B23">
      <w:pPr>
        <w:pStyle w:val="Pa3"/>
        <w:spacing w:after="240" w:line="240" w:lineRule="auto"/>
        <w:jc w:val="both"/>
        <w:rPr>
          <w:rStyle w:val="A0"/>
          <w:rFonts w:ascii="Arial" w:hAnsi="Arial" w:cs="Arial"/>
          <w:sz w:val="20"/>
          <w:szCs w:val="20"/>
        </w:rPr>
      </w:pPr>
      <w:r w:rsidRPr="00A00E1B">
        <w:rPr>
          <w:rStyle w:val="A0"/>
          <w:rFonts w:ascii="Arial" w:hAnsi="Arial" w:cs="Arial"/>
          <w:b/>
          <w:bCs/>
          <w:sz w:val="20"/>
          <w:szCs w:val="20"/>
        </w:rPr>
        <w:t>Removal and disposal of electrical equipment containing PCB</w:t>
      </w:r>
      <w:r w:rsidRPr="00F83B23">
        <w:rPr>
          <w:rStyle w:val="A0"/>
          <w:rFonts w:ascii="Arial" w:hAnsi="Arial" w:cs="Arial"/>
          <w:bCs/>
          <w:sz w:val="20"/>
          <w:szCs w:val="20"/>
        </w:rPr>
        <w:t xml:space="preserve"> </w:t>
      </w:r>
      <w:r w:rsidRPr="00A00E1B">
        <w:rPr>
          <w:rStyle w:val="A0"/>
          <w:rFonts w:ascii="Arial" w:hAnsi="Arial" w:cs="Arial"/>
          <w:sz w:val="20"/>
          <w:szCs w:val="20"/>
        </w:rPr>
        <w:t>will be paid for in accordance with Section 109.05 for extra work.</w:t>
      </w:r>
    </w:p>
    <w:p w14:paraId="5CE4CF25" w14:textId="32454F3E" w:rsidR="00A00E1B" w:rsidRDefault="00A00E1B" w:rsidP="00F83B23">
      <w:pPr>
        <w:pStyle w:val="Pa3"/>
        <w:spacing w:after="240" w:line="240" w:lineRule="auto"/>
        <w:jc w:val="both"/>
        <w:rPr>
          <w:rStyle w:val="A0"/>
          <w:rFonts w:ascii="Arial" w:hAnsi="Arial" w:cs="Arial"/>
          <w:sz w:val="20"/>
          <w:szCs w:val="20"/>
        </w:rPr>
      </w:pPr>
      <w:r w:rsidRPr="00A00E1B">
        <w:rPr>
          <w:rStyle w:val="A0"/>
          <w:rFonts w:ascii="Arial" w:hAnsi="Arial" w:cs="Arial"/>
          <w:sz w:val="20"/>
          <w:szCs w:val="20"/>
        </w:rPr>
        <w:t>Payment will be made under:</w:t>
      </w:r>
    </w:p>
    <w:tbl>
      <w:tblPr>
        <w:tblStyle w:val="TableGrid"/>
        <w:tblW w:w="0" w:type="auto"/>
        <w:tblInd w:w="19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4667"/>
      </w:tblGrid>
      <w:tr w:rsidR="00A00E1B" w14:paraId="5D5C0CE7" w14:textId="77777777" w:rsidTr="00A00E1B">
        <w:tc>
          <w:tcPr>
            <w:tcW w:w="4590" w:type="dxa"/>
            <w:tcBorders>
              <w:top w:val="single" w:sz="4" w:space="0" w:color="auto"/>
              <w:bottom w:val="single" w:sz="4" w:space="0" w:color="auto"/>
            </w:tcBorders>
          </w:tcPr>
          <w:p w14:paraId="308E0E30" w14:textId="176F2377" w:rsidR="00A00E1B" w:rsidRDefault="00A00E1B" w:rsidP="00A00E1B">
            <w:pPr>
              <w:pStyle w:val="Default"/>
            </w:pPr>
            <w:r w:rsidRPr="00A00E1B">
              <w:rPr>
                <w:rStyle w:val="A0"/>
                <w:rFonts w:ascii="Arial" w:hAnsi="Arial" w:cs="Arial"/>
                <w:b/>
                <w:bCs/>
                <w:color w:val="auto"/>
                <w:sz w:val="20"/>
                <w:szCs w:val="20"/>
              </w:rPr>
              <w:t>Pay Item</w:t>
            </w:r>
          </w:p>
        </w:tc>
        <w:tc>
          <w:tcPr>
            <w:tcW w:w="4788" w:type="dxa"/>
            <w:tcBorders>
              <w:top w:val="single" w:sz="4" w:space="0" w:color="auto"/>
              <w:bottom w:val="single" w:sz="4" w:space="0" w:color="auto"/>
            </w:tcBorders>
          </w:tcPr>
          <w:p w14:paraId="54C3247F" w14:textId="2270A245" w:rsidR="00A00E1B" w:rsidRDefault="00A00E1B" w:rsidP="00A00E1B">
            <w:pPr>
              <w:pStyle w:val="Default"/>
            </w:pPr>
            <w:r w:rsidRPr="00A00E1B">
              <w:rPr>
                <w:rStyle w:val="A0"/>
                <w:rFonts w:ascii="Arial" w:hAnsi="Arial" w:cs="Arial"/>
                <w:b/>
                <w:bCs/>
                <w:color w:val="auto"/>
                <w:sz w:val="20"/>
                <w:szCs w:val="20"/>
              </w:rPr>
              <w:t>Pay Unit</w:t>
            </w:r>
          </w:p>
        </w:tc>
      </w:tr>
      <w:tr w:rsidR="00A00E1B" w14:paraId="676A3787" w14:textId="77777777" w:rsidTr="00A00E1B">
        <w:tc>
          <w:tcPr>
            <w:tcW w:w="4590" w:type="dxa"/>
            <w:tcBorders>
              <w:top w:val="single" w:sz="4" w:space="0" w:color="auto"/>
            </w:tcBorders>
          </w:tcPr>
          <w:p w14:paraId="2F67E1EB" w14:textId="506929C6" w:rsidR="00A00E1B" w:rsidRDefault="00A00E1B" w:rsidP="00A00E1B">
            <w:pPr>
              <w:pStyle w:val="Default"/>
            </w:pPr>
            <w:r w:rsidRPr="00A00E1B">
              <w:rPr>
                <w:rStyle w:val="A0"/>
                <w:rFonts w:ascii="Arial" w:hAnsi="Arial" w:cs="Arial"/>
                <w:color w:val="auto"/>
                <w:sz w:val="20"/>
                <w:szCs w:val="20"/>
              </w:rPr>
              <w:t>Luminaire (Wattage, and type)</w:t>
            </w:r>
          </w:p>
        </w:tc>
        <w:tc>
          <w:tcPr>
            <w:tcW w:w="4788" w:type="dxa"/>
            <w:tcBorders>
              <w:top w:val="single" w:sz="4" w:space="0" w:color="auto"/>
            </w:tcBorders>
          </w:tcPr>
          <w:p w14:paraId="3F52D2B5" w14:textId="7FC5D91A" w:rsidR="00A00E1B" w:rsidRDefault="00A00E1B" w:rsidP="00A00E1B">
            <w:pPr>
              <w:pStyle w:val="Default"/>
            </w:pPr>
            <w:r w:rsidRPr="00A00E1B">
              <w:rPr>
                <w:rStyle w:val="A0"/>
                <w:rFonts w:ascii="Arial" w:hAnsi="Arial" w:cs="Arial"/>
                <w:color w:val="auto"/>
                <w:sz w:val="20"/>
                <w:szCs w:val="20"/>
              </w:rPr>
              <w:t>Each</w:t>
            </w:r>
          </w:p>
        </w:tc>
      </w:tr>
      <w:tr w:rsidR="00A00E1B" w14:paraId="2358DCED" w14:textId="77777777" w:rsidTr="00A00E1B">
        <w:tc>
          <w:tcPr>
            <w:tcW w:w="4590" w:type="dxa"/>
          </w:tcPr>
          <w:p w14:paraId="70E124B6" w14:textId="58370030" w:rsidR="00A00E1B" w:rsidRDefault="00A00E1B" w:rsidP="00A00E1B">
            <w:pPr>
              <w:pStyle w:val="Default"/>
              <w:ind w:left="162" w:hanging="162"/>
            </w:pPr>
            <w:r w:rsidRPr="00A00E1B">
              <w:rPr>
                <w:rStyle w:val="A0"/>
                <w:rFonts w:ascii="Arial" w:hAnsi="Arial" w:cs="Arial"/>
                <w:color w:val="auto"/>
                <w:sz w:val="20"/>
                <w:szCs w:val="20"/>
              </w:rPr>
              <w:t>High-mast luminaire assembly (Number of luminaires, wattage, and type)</w:t>
            </w:r>
          </w:p>
        </w:tc>
        <w:tc>
          <w:tcPr>
            <w:tcW w:w="4788" w:type="dxa"/>
          </w:tcPr>
          <w:p w14:paraId="084A3ED3" w14:textId="351B5963" w:rsidR="00A00E1B" w:rsidRDefault="00A00E1B" w:rsidP="00A00E1B">
            <w:pPr>
              <w:pStyle w:val="Default"/>
            </w:pPr>
            <w:r w:rsidRPr="00A00E1B">
              <w:rPr>
                <w:rStyle w:val="A0"/>
                <w:rFonts w:ascii="Arial" w:hAnsi="Arial" w:cs="Arial"/>
                <w:color w:val="auto"/>
                <w:sz w:val="20"/>
                <w:szCs w:val="20"/>
              </w:rPr>
              <w:t>Each</w:t>
            </w:r>
          </w:p>
        </w:tc>
      </w:tr>
      <w:tr w:rsidR="00A00E1B" w14:paraId="2ACCC416" w14:textId="77777777" w:rsidTr="00A00E1B">
        <w:tc>
          <w:tcPr>
            <w:tcW w:w="4590" w:type="dxa"/>
          </w:tcPr>
          <w:p w14:paraId="11B3E087" w14:textId="55100F3D" w:rsidR="00A00E1B" w:rsidRPr="00A00E1B" w:rsidRDefault="00A00E1B" w:rsidP="00A00E1B">
            <w:pPr>
              <w:pStyle w:val="Default"/>
              <w:ind w:left="162" w:hanging="162"/>
              <w:rPr>
                <w:rStyle w:val="A0"/>
                <w:rFonts w:ascii="Arial" w:hAnsi="Arial" w:cs="Arial"/>
                <w:color w:val="auto"/>
                <w:sz w:val="20"/>
                <w:szCs w:val="20"/>
              </w:rPr>
            </w:pPr>
            <w:r w:rsidRPr="00A00E1B">
              <w:rPr>
                <w:rStyle w:val="A0"/>
                <w:rFonts w:ascii="Arial" w:hAnsi="Arial" w:cs="Arial"/>
                <w:color w:val="auto"/>
                <w:sz w:val="20"/>
                <w:szCs w:val="20"/>
              </w:rPr>
              <w:t>Control center (Standard and type)</w:t>
            </w:r>
          </w:p>
        </w:tc>
        <w:tc>
          <w:tcPr>
            <w:tcW w:w="4788" w:type="dxa"/>
          </w:tcPr>
          <w:p w14:paraId="3CB9465A" w14:textId="6C9E85B9" w:rsidR="00A00E1B" w:rsidRPr="00A00E1B" w:rsidRDefault="00A00E1B" w:rsidP="00A00E1B">
            <w:pPr>
              <w:pStyle w:val="Default"/>
              <w:rPr>
                <w:rStyle w:val="A0"/>
                <w:rFonts w:ascii="Arial" w:hAnsi="Arial" w:cs="Arial"/>
                <w:color w:val="auto"/>
                <w:sz w:val="20"/>
                <w:szCs w:val="20"/>
              </w:rPr>
            </w:pPr>
            <w:r w:rsidRPr="00A00E1B">
              <w:rPr>
                <w:rStyle w:val="A0"/>
                <w:rFonts w:ascii="Arial" w:hAnsi="Arial" w:cs="Arial"/>
                <w:color w:val="auto"/>
                <w:sz w:val="20"/>
                <w:szCs w:val="20"/>
              </w:rPr>
              <w:t>Each</w:t>
            </w:r>
          </w:p>
        </w:tc>
      </w:tr>
    </w:tbl>
    <w:p w14:paraId="7D0045CA" w14:textId="187D0BB0" w:rsidR="006E6BD8" w:rsidRPr="00A00E1B" w:rsidRDefault="006E6BD8" w:rsidP="00A00E1B">
      <w:pPr>
        <w:pStyle w:val="Default"/>
        <w:rPr>
          <w:rFonts w:ascii="Arial" w:hAnsi="Arial" w:cs="Arial"/>
          <w:sz w:val="20"/>
          <w:szCs w:val="20"/>
        </w:rPr>
      </w:pPr>
    </w:p>
    <w:sectPr w:rsidR="006E6BD8" w:rsidRPr="00A00E1B" w:rsidSect="00AE5C01">
      <w:headerReference w:type="default" r:id="rId11"/>
      <w:footerReference w:type="even"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4B36A" w14:textId="77777777" w:rsidR="005E142F" w:rsidRDefault="005E142F">
      <w:r>
        <w:separator/>
      </w:r>
    </w:p>
  </w:endnote>
  <w:endnote w:type="continuationSeparator" w:id="0">
    <w:p w14:paraId="41FF0834" w14:textId="77777777" w:rsidR="005E142F" w:rsidRDefault="005E142F">
      <w:r>
        <w:continuationSeparator/>
      </w:r>
    </w:p>
  </w:endnote>
  <w:endnote w:type="continuationNotice" w:id="1">
    <w:p w14:paraId="12EF4193" w14:textId="77777777" w:rsidR="005E142F" w:rsidRDefault="005E14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FC38E" w14:textId="77777777" w:rsidR="00DB6699" w:rsidRDefault="00DB669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69DE085" w14:textId="77777777" w:rsidR="00DB6699" w:rsidRDefault="00DB66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A2056" w14:textId="265968D0" w:rsidR="00DB6699" w:rsidRDefault="00DB6699" w:rsidP="00CD057C">
    <w:pPr>
      <w:pStyle w:val="Footer"/>
      <w:jc w:val="center"/>
    </w:pPr>
    <w:r>
      <w:t xml:space="preserve">705 - </w:t>
    </w:r>
    <w:r>
      <w:rPr>
        <w:rStyle w:val="PageNumber"/>
      </w:rPr>
      <w:fldChar w:fldCharType="begin"/>
    </w:r>
    <w:r>
      <w:rPr>
        <w:rStyle w:val="PageNumber"/>
      </w:rPr>
      <w:instrText xml:space="preserve"> PAGE </w:instrText>
    </w:r>
    <w:r>
      <w:rPr>
        <w:rStyle w:val="PageNumber"/>
      </w:rPr>
      <w:fldChar w:fldCharType="separate"/>
    </w:r>
    <w:r w:rsidR="00952027">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2861C" w14:textId="77777777" w:rsidR="005E142F" w:rsidRDefault="005E142F">
      <w:r>
        <w:separator/>
      </w:r>
    </w:p>
  </w:footnote>
  <w:footnote w:type="continuationSeparator" w:id="0">
    <w:p w14:paraId="7F94B472" w14:textId="77777777" w:rsidR="005E142F" w:rsidRDefault="005E142F">
      <w:r>
        <w:continuationSeparator/>
      </w:r>
    </w:p>
  </w:footnote>
  <w:footnote w:type="continuationNotice" w:id="1">
    <w:p w14:paraId="2E25C4F1" w14:textId="77777777" w:rsidR="005E142F" w:rsidRDefault="005E142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BE7505" w14:textId="77777777" w:rsidR="002D6B30" w:rsidRDefault="002D6B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6F1C87"/>
    <w:multiLevelType w:val="hybridMultilevel"/>
    <w:tmpl w:val="FE521792"/>
    <w:lvl w:ilvl="0" w:tplc="77F2FAAA">
      <w:start w:val="7"/>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C24272F"/>
    <w:multiLevelType w:val="multilevel"/>
    <w:tmpl w:val="4B10F45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2" w15:restartNumberingAfterBreak="0">
    <w:nsid w:val="54FC09F1"/>
    <w:multiLevelType w:val="multilevel"/>
    <w:tmpl w:val="4B10F45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05DC9"/>
    <w:rsid w:val="00014662"/>
    <w:rsid w:val="000209BB"/>
    <w:rsid w:val="00033883"/>
    <w:rsid w:val="00043624"/>
    <w:rsid w:val="0005647F"/>
    <w:rsid w:val="00083603"/>
    <w:rsid w:val="000B1583"/>
    <w:rsid w:val="000C2BB7"/>
    <w:rsid w:val="000D6A5F"/>
    <w:rsid w:val="000E46ED"/>
    <w:rsid w:val="001051E4"/>
    <w:rsid w:val="001115FC"/>
    <w:rsid w:val="00130DC8"/>
    <w:rsid w:val="00140535"/>
    <w:rsid w:val="001455AC"/>
    <w:rsid w:val="00166264"/>
    <w:rsid w:val="00172739"/>
    <w:rsid w:val="00173606"/>
    <w:rsid w:val="001747BB"/>
    <w:rsid w:val="00176D65"/>
    <w:rsid w:val="001848E2"/>
    <w:rsid w:val="00187306"/>
    <w:rsid w:val="00187E50"/>
    <w:rsid w:val="00195BD1"/>
    <w:rsid w:val="001A0DC3"/>
    <w:rsid w:val="001A5703"/>
    <w:rsid w:val="001A76DF"/>
    <w:rsid w:val="001B2183"/>
    <w:rsid w:val="001C49E9"/>
    <w:rsid w:val="001C75AE"/>
    <w:rsid w:val="001F05B7"/>
    <w:rsid w:val="00263AF2"/>
    <w:rsid w:val="00264251"/>
    <w:rsid w:val="00273B86"/>
    <w:rsid w:val="00282900"/>
    <w:rsid w:val="002965B2"/>
    <w:rsid w:val="00297129"/>
    <w:rsid w:val="002A7097"/>
    <w:rsid w:val="002B2F69"/>
    <w:rsid w:val="002D1B95"/>
    <w:rsid w:val="002D6B30"/>
    <w:rsid w:val="003029F9"/>
    <w:rsid w:val="00323B0B"/>
    <w:rsid w:val="0032427B"/>
    <w:rsid w:val="00364E81"/>
    <w:rsid w:val="00374556"/>
    <w:rsid w:val="00375906"/>
    <w:rsid w:val="00380CF1"/>
    <w:rsid w:val="003A0DAB"/>
    <w:rsid w:val="003C3E13"/>
    <w:rsid w:val="003C7B8E"/>
    <w:rsid w:val="003D2DD4"/>
    <w:rsid w:val="003F01E1"/>
    <w:rsid w:val="0040138B"/>
    <w:rsid w:val="004059E6"/>
    <w:rsid w:val="00413821"/>
    <w:rsid w:val="00425AD1"/>
    <w:rsid w:val="00431F1A"/>
    <w:rsid w:val="00440F9A"/>
    <w:rsid w:val="004454EB"/>
    <w:rsid w:val="00462468"/>
    <w:rsid w:val="00463E5C"/>
    <w:rsid w:val="004829C7"/>
    <w:rsid w:val="004A60F1"/>
    <w:rsid w:val="005159F3"/>
    <w:rsid w:val="00541ABC"/>
    <w:rsid w:val="0058307E"/>
    <w:rsid w:val="005B3FD8"/>
    <w:rsid w:val="005C4361"/>
    <w:rsid w:val="005E142F"/>
    <w:rsid w:val="005E1505"/>
    <w:rsid w:val="005E53AF"/>
    <w:rsid w:val="005F19CD"/>
    <w:rsid w:val="00600111"/>
    <w:rsid w:val="006045F6"/>
    <w:rsid w:val="00621AF4"/>
    <w:rsid w:val="0062232A"/>
    <w:rsid w:val="0062572C"/>
    <w:rsid w:val="00644A34"/>
    <w:rsid w:val="00665E89"/>
    <w:rsid w:val="00673B81"/>
    <w:rsid w:val="006A321A"/>
    <w:rsid w:val="006B4597"/>
    <w:rsid w:val="006E6BD8"/>
    <w:rsid w:val="0072415F"/>
    <w:rsid w:val="007266AA"/>
    <w:rsid w:val="007270EB"/>
    <w:rsid w:val="007304EB"/>
    <w:rsid w:val="0074398E"/>
    <w:rsid w:val="00763992"/>
    <w:rsid w:val="00783139"/>
    <w:rsid w:val="00785619"/>
    <w:rsid w:val="00785AE7"/>
    <w:rsid w:val="00790A3D"/>
    <w:rsid w:val="007A3857"/>
    <w:rsid w:val="007C6FB3"/>
    <w:rsid w:val="007D00D6"/>
    <w:rsid w:val="007D033E"/>
    <w:rsid w:val="007E196D"/>
    <w:rsid w:val="007E685E"/>
    <w:rsid w:val="007F7DDB"/>
    <w:rsid w:val="00815CA3"/>
    <w:rsid w:val="00840274"/>
    <w:rsid w:val="008524B7"/>
    <w:rsid w:val="00856709"/>
    <w:rsid w:val="0085675E"/>
    <w:rsid w:val="008706D3"/>
    <w:rsid w:val="0087439A"/>
    <w:rsid w:val="0089201C"/>
    <w:rsid w:val="0089475A"/>
    <w:rsid w:val="008953D9"/>
    <w:rsid w:val="008A7424"/>
    <w:rsid w:val="008B2707"/>
    <w:rsid w:val="008B7B9B"/>
    <w:rsid w:val="008C710F"/>
    <w:rsid w:val="008D5C3B"/>
    <w:rsid w:val="008E2063"/>
    <w:rsid w:val="008E52B8"/>
    <w:rsid w:val="00910522"/>
    <w:rsid w:val="00912E74"/>
    <w:rsid w:val="00931DD0"/>
    <w:rsid w:val="00934B44"/>
    <w:rsid w:val="009362FF"/>
    <w:rsid w:val="00952027"/>
    <w:rsid w:val="0095452F"/>
    <w:rsid w:val="00954B3A"/>
    <w:rsid w:val="00981DD7"/>
    <w:rsid w:val="009928E6"/>
    <w:rsid w:val="009A79BC"/>
    <w:rsid w:val="009B59F1"/>
    <w:rsid w:val="009D0E74"/>
    <w:rsid w:val="009D7F49"/>
    <w:rsid w:val="009F392B"/>
    <w:rsid w:val="009F4134"/>
    <w:rsid w:val="00A00E1B"/>
    <w:rsid w:val="00A02660"/>
    <w:rsid w:val="00A1245E"/>
    <w:rsid w:val="00A16604"/>
    <w:rsid w:val="00A50D4E"/>
    <w:rsid w:val="00A54C63"/>
    <w:rsid w:val="00A61AA3"/>
    <w:rsid w:val="00A63EB3"/>
    <w:rsid w:val="00A9672B"/>
    <w:rsid w:val="00AB63FD"/>
    <w:rsid w:val="00AC300A"/>
    <w:rsid w:val="00AE5C01"/>
    <w:rsid w:val="00B07ABE"/>
    <w:rsid w:val="00B16AA3"/>
    <w:rsid w:val="00B16F03"/>
    <w:rsid w:val="00B31819"/>
    <w:rsid w:val="00B525D5"/>
    <w:rsid w:val="00B65862"/>
    <w:rsid w:val="00B66601"/>
    <w:rsid w:val="00B704DA"/>
    <w:rsid w:val="00B85572"/>
    <w:rsid w:val="00BA34E3"/>
    <w:rsid w:val="00BF0974"/>
    <w:rsid w:val="00C11E49"/>
    <w:rsid w:val="00C24A64"/>
    <w:rsid w:val="00C26410"/>
    <w:rsid w:val="00C42A86"/>
    <w:rsid w:val="00C46675"/>
    <w:rsid w:val="00CA37C3"/>
    <w:rsid w:val="00CB273E"/>
    <w:rsid w:val="00CC33BF"/>
    <w:rsid w:val="00CC5095"/>
    <w:rsid w:val="00CC5368"/>
    <w:rsid w:val="00CD057C"/>
    <w:rsid w:val="00CE36B9"/>
    <w:rsid w:val="00CE373B"/>
    <w:rsid w:val="00D15D96"/>
    <w:rsid w:val="00D23769"/>
    <w:rsid w:val="00D2400F"/>
    <w:rsid w:val="00D32710"/>
    <w:rsid w:val="00D331E4"/>
    <w:rsid w:val="00D40E5B"/>
    <w:rsid w:val="00D4772D"/>
    <w:rsid w:val="00D557BF"/>
    <w:rsid w:val="00D61F39"/>
    <w:rsid w:val="00D91A50"/>
    <w:rsid w:val="00D92C53"/>
    <w:rsid w:val="00DB6699"/>
    <w:rsid w:val="00DD45F2"/>
    <w:rsid w:val="00DE03DF"/>
    <w:rsid w:val="00DE4627"/>
    <w:rsid w:val="00E0253F"/>
    <w:rsid w:val="00E13277"/>
    <w:rsid w:val="00E33BC5"/>
    <w:rsid w:val="00E55D17"/>
    <w:rsid w:val="00E66758"/>
    <w:rsid w:val="00E70326"/>
    <w:rsid w:val="00E745C3"/>
    <w:rsid w:val="00F12450"/>
    <w:rsid w:val="00F32F18"/>
    <w:rsid w:val="00F549E7"/>
    <w:rsid w:val="00F83B23"/>
    <w:rsid w:val="00F910F7"/>
    <w:rsid w:val="00F96997"/>
    <w:rsid w:val="00FB10F8"/>
    <w:rsid w:val="00FB54F5"/>
    <w:rsid w:val="00FB5DA7"/>
    <w:rsid w:val="00FB662A"/>
    <w:rsid w:val="00FC6696"/>
    <w:rsid w:val="00FD468F"/>
    <w:rsid w:val="00FE0111"/>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52905"/>
  <w15:docId w15:val="{FBF61655-DE52-4FE7-B542-7718683B4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172739"/>
  </w:style>
  <w:style w:type="character" w:styleId="Hyperlink">
    <w:name w:val="Hyperlink"/>
    <w:basedOn w:val="DefaultParagraphFont"/>
    <w:rsid w:val="002D1B95"/>
    <w:rPr>
      <w:color w:val="0000FF"/>
      <w:u w:val="single"/>
    </w:rPr>
  </w:style>
  <w:style w:type="table" w:styleId="TableGrid">
    <w:name w:val="Table Grid"/>
    <w:basedOn w:val="TableNormal"/>
    <w:rsid w:val="002D1B9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934B44"/>
    <w:rPr>
      <w:rFonts w:ascii="Tahoma" w:hAnsi="Tahoma" w:cs="Tahoma"/>
      <w:sz w:val="16"/>
      <w:szCs w:val="16"/>
    </w:rPr>
  </w:style>
  <w:style w:type="character" w:customStyle="1" w:styleId="BalloonTextChar">
    <w:name w:val="Balloon Text Char"/>
    <w:basedOn w:val="DefaultParagraphFont"/>
    <w:link w:val="BalloonText"/>
    <w:rsid w:val="00934B44"/>
    <w:rPr>
      <w:rFonts w:ascii="Tahoma" w:hAnsi="Tahoma" w:cs="Tahoma"/>
      <w:sz w:val="16"/>
      <w:szCs w:val="16"/>
    </w:rPr>
  </w:style>
  <w:style w:type="paragraph" w:customStyle="1" w:styleId="Default">
    <w:name w:val="Default"/>
    <w:rsid w:val="00A00E1B"/>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A00E1B"/>
    <w:pPr>
      <w:spacing w:line="241" w:lineRule="atLeast"/>
    </w:pPr>
    <w:rPr>
      <w:rFonts w:cs="Times New Roman"/>
      <w:color w:val="auto"/>
    </w:rPr>
  </w:style>
  <w:style w:type="character" w:customStyle="1" w:styleId="A2">
    <w:name w:val="A2"/>
    <w:uiPriority w:val="99"/>
    <w:rsid w:val="00A00E1B"/>
    <w:rPr>
      <w:rFonts w:cs="TimesNewRomanPS"/>
      <w:b/>
      <w:bCs/>
      <w:color w:val="000000"/>
      <w:sz w:val="20"/>
      <w:szCs w:val="20"/>
    </w:rPr>
  </w:style>
  <w:style w:type="paragraph" w:customStyle="1" w:styleId="Pa1">
    <w:name w:val="Pa1"/>
    <w:basedOn w:val="Default"/>
    <w:next w:val="Default"/>
    <w:uiPriority w:val="99"/>
    <w:rsid w:val="00A00E1B"/>
    <w:pPr>
      <w:spacing w:line="241" w:lineRule="atLeast"/>
    </w:pPr>
    <w:rPr>
      <w:rFonts w:cs="Times New Roman"/>
      <w:color w:val="auto"/>
    </w:rPr>
  </w:style>
  <w:style w:type="character" w:customStyle="1" w:styleId="A0">
    <w:name w:val="A0"/>
    <w:uiPriority w:val="99"/>
    <w:rsid w:val="00A00E1B"/>
    <w:rPr>
      <w:rFonts w:cs="TimesNewRomanPS"/>
      <w:color w:val="000000"/>
      <w:sz w:val="18"/>
      <w:szCs w:val="18"/>
    </w:rPr>
  </w:style>
  <w:style w:type="paragraph" w:customStyle="1" w:styleId="Pa3">
    <w:name w:val="Pa3"/>
    <w:basedOn w:val="Default"/>
    <w:next w:val="Default"/>
    <w:uiPriority w:val="99"/>
    <w:rsid w:val="00A00E1B"/>
    <w:pPr>
      <w:spacing w:line="241" w:lineRule="atLeast"/>
    </w:pPr>
    <w:rPr>
      <w:rFonts w:cs="Times New Roman"/>
      <w:color w:val="auto"/>
    </w:rPr>
  </w:style>
  <w:style w:type="paragraph" w:customStyle="1" w:styleId="Pa4">
    <w:name w:val="Pa4"/>
    <w:basedOn w:val="Default"/>
    <w:next w:val="Default"/>
    <w:uiPriority w:val="99"/>
    <w:rsid w:val="00A00E1B"/>
    <w:pPr>
      <w:spacing w:line="241" w:lineRule="atLeast"/>
    </w:pPr>
    <w:rPr>
      <w:rFonts w:cs="Times New Roman"/>
      <w:color w:val="auto"/>
    </w:rPr>
  </w:style>
  <w:style w:type="paragraph" w:customStyle="1" w:styleId="Pa6">
    <w:name w:val="Pa6"/>
    <w:basedOn w:val="Default"/>
    <w:next w:val="Default"/>
    <w:uiPriority w:val="99"/>
    <w:rsid w:val="00A00E1B"/>
    <w:pPr>
      <w:spacing w:line="241" w:lineRule="atLeast"/>
    </w:pPr>
    <w:rPr>
      <w:rFonts w:cs="Times New Roman"/>
      <w:color w:val="auto"/>
    </w:rPr>
  </w:style>
  <w:style w:type="paragraph" w:customStyle="1" w:styleId="Pa2">
    <w:name w:val="Pa2"/>
    <w:basedOn w:val="Default"/>
    <w:next w:val="Default"/>
    <w:uiPriority w:val="99"/>
    <w:rsid w:val="00A00E1B"/>
    <w:pPr>
      <w:spacing w:line="241" w:lineRule="atLeast"/>
    </w:pPr>
    <w:rPr>
      <w:rFonts w:cs="Times New Roman"/>
      <w:color w:val="auto"/>
    </w:rPr>
  </w:style>
  <w:style w:type="paragraph" w:customStyle="1" w:styleId="Pa5">
    <w:name w:val="Pa5"/>
    <w:basedOn w:val="Default"/>
    <w:next w:val="Default"/>
    <w:uiPriority w:val="99"/>
    <w:rsid w:val="00A00E1B"/>
    <w:pPr>
      <w:spacing w:line="241" w:lineRule="atLeast"/>
    </w:pPr>
    <w:rPr>
      <w:rFonts w:cs="Times New Roman"/>
      <w:color w:val="auto"/>
    </w:rPr>
  </w:style>
  <w:style w:type="paragraph" w:customStyle="1" w:styleId="Pa7">
    <w:name w:val="Pa7"/>
    <w:basedOn w:val="Default"/>
    <w:next w:val="Default"/>
    <w:uiPriority w:val="99"/>
    <w:rsid w:val="00A00E1B"/>
    <w:pPr>
      <w:spacing w:line="241" w:lineRule="atLeast"/>
    </w:pPr>
    <w:rPr>
      <w:rFonts w:cs="Times New Roman"/>
      <w:color w:val="auto"/>
    </w:rPr>
  </w:style>
  <w:style w:type="paragraph" w:customStyle="1" w:styleId="Pa14">
    <w:name w:val="Pa14"/>
    <w:basedOn w:val="Default"/>
    <w:next w:val="Default"/>
    <w:uiPriority w:val="99"/>
    <w:rsid w:val="00A00E1B"/>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0218">
      <w:bodyDiv w:val="1"/>
      <w:marLeft w:val="0"/>
      <w:marRight w:val="0"/>
      <w:marTop w:val="0"/>
      <w:marBottom w:val="0"/>
      <w:divBdr>
        <w:top w:val="none" w:sz="0" w:space="0" w:color="auto"/>
        <w:left w:val="none" w:sz="0" w:space="0" w:color="auto"/>
        <w:bottom w:val="none" w:sz="0" w:space="0" w:color="auto"/>
        <w:right w:val="none" w:sz="0" w:space="0" w:color="auto"/>
      </w:divBdr>
    </w:div>
    <w:div w:id="605386643">
      <w:bodyDiv w:val="1"/>
      <w:marLeft w:val="0"/>
      <w:marRight w:val="0"/>
      <w:marTop w:val="0"/>
      <w:marBottom w:val="0"/>
      <w:divBdr>
        <w:top w:val="none" w:sz="0" w:space="0" w:color="auto"/>
        <w:left w:val="none" w:sz="0" w:space="0" w:color="auto"/>
        <w:bottom w:val="none" w:sz="0" w:space="0" w:color="auto"/>
        <w:right w:val="none" w:sz="0" w:space="0" w:color="auto"/>
      </w:divBdr>
    </w:div>
    <w:div w:id="1364282013">
      <w:bodyDiv w:val="1"/>
      <w:marLeft w:val="0"/>
      <w:marRight w:val="0"/>
      <w:marTop w:val="0"/>
      <w:marBottom w:val="0"/>
      <w:divBdr>
        <w:top w:val="none" w:sz="0" w:space="0" w:color="auto"/>
        <w:left w:val="none" w:sz="0" w:space="0" w:color="auto"/>
        <w:bottom w:val="none" w:sz="0" w:space="0" w:color="auto"/>
        <w:right w:val="none" w:sz="0" w:space="0" w:color="auto"/>
      </w:divBdr>
    </w:div>
    <w:div w:id="1520007187">
      <w:bodyDiv w:val="1"/>
      <w:marLeft w:val="0"/>
      <w:marRight w:val="0"/>
      <w:marTop w:val="0"/>
      <w:marBottom w:val="0"/>
      <w:divBdr>
        <w:top w:val="none" w:sz="0" w:space="0" w:color="auto"/>
        <w:left w:val="none" w:sz="0" w:space="0" w:color="auto"/>
        <w:bottom w:val="none" w:sz="0" w:space="0" w:color="auto"/>
        <w:right w:val="none" w:sz="0" w:space="0" w:color="auto"/>
      </w:divBdr>
    </w:div>
    <w:div w:id="1674255704">
      <w:bodyDiv w:val="1"/>
      <w:marLeft w:val="0"/>
      <w:marRight w:val="0"/>
      <w:marTop w:val="0"/>
      <w:marBottom w:val="0"/>
      <w:divBdr>
        <w:top w:val="none" w:sz="0" w:space="0" w:color="auto"/>
        <w:left w:val="none" w:sz="0" w:space="0" w:color="auto"/>
        <w:bottom w:val="none" w:sz="0" w:space="0" w:color="auto"/>
        <w:right w:val="none" w:sz="0" w:space="0" w:color="auto"/>
      </w:divBdr>
    </w:div>
    <w:div w:id="208309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BK705-002020-00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VII</Division>
    <Section xmlns="2328571d-b9d5-471b-8d96-2ccb743ec3d4">705</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B83361-F833-41E8-91F9-C986094CFE4B}"/>
</file>

<file path=customXml/itemProps2.xml><?xml version="1.0" encoding="utf-8"?>
<ds:datastoreItem xmlns:ds="http://schemas.openxmlformats.org/officeDocument/2006/customXml" ds:itemID="{F2EA9F73-E529-4ACF-B7BD-1EC2F8FE7968}"/>
</file>

<file path=customXml/itemProps3.xml><?xml version="1.0" encoding="utf-8"?>
<ds:datastoreItem xmlns:ds="http://schemas.openxmlformats.org/officeDocument/2006/customXml" ds:itemID="{4FD853FD-4637-403B-9CE6-4E898C528CAD}"/>
</file>

<file path=customXml/itemProps4.xml><?xml version="1.0" encoding="utf-8"?>
<ds:datastoreItem xmlns:ds="http://schemas.openxmlformats.org/officeDocument/2006/customXml" ds:itemID="{6C94F2AB-0C28-48F6-AB09-4594C67404CD}"/>
</file>

<file path=docProps/app.xml><?xml version="1.0" encoding="utf-8"?>
<Properties xmlns="http://schemas.openxmlformats.org/officeDocument/2006/extended-properties" xmlns:vt="http://schemas.openxmlformats.org/officeDocument/2006/docPropsVTypes">
  <Template>Normal</Template>
  <TotalTime>0</TotalTime>
  <Pages>4</Pages>
  <Words>1793</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Lighting Systems</vt:lpstr>
    </vt:vector>
  </TitlesOfParts>
  <Company>VDOT</Company>
  <LinksUpToDate>false</LinksUpToDate>
  <CharactersWithSpaces>11763</CharactersWithSpaces>
  <SharedDoc>false</SharedDoc>
  <HLinks>
    <vt:vector size="48" baseType="variant">
      <vt:variant>
        <vt:i4>6750257</vt:i4>
      </vt:variant>
      <vt:variant>
        <vt:i4>21</vt:i4>
      </vt:variant>
      <vt:variant>
        <vt:i4>0</vt:i4>
      </vt:variant>
      <vt:variant>
        <vt:i4>5</vt:i4>
      </vt:variant>
      <vt:variant>
        <vt:lpwstr>https://insidevdot.cov.virginia.gov/Docs/Documents/C120.doc</vt:lpwstr>
      </vt:variant>
      <vt:variant>
        <vt:lpwstr/>
      </vt:variant>
      <vt:variant>
        <vt:i4>4718708</vt:i4>
      </vt:variant>
      <vt:variant>
        <vt:i4>18</vt:i4>
      </vt:variant>
      <vt:variant>
        <vt:i4>0</vt:i4>
      </vt:variant>
      <vt:variant>
        <vt:i4>5</vt:i4>
      </vt:variant>
      <vt:variant>
        <vt:lpwstr>mailto:David.Gayle@VDOT.Virginia.gov</vt:lpwstr>
      </vt:variant>
      <vt:variant>
        <vt:lpwstr/>
      </vt:variant>
      <vt:variant>
        <vt:i4>6422602</vt:i4>
      </vt:variant>
      <vt:variant>
        <vt:i4>15</vt:i4>
      </vt:variant>
      <vt:variant>
        <vt:i4>0</vt:i4>
      </vt:variant>
      <vt:variant>
        <vt:i4>5</vt:i4>
      </vt:variant>
      <vt:variant>
        <vt:lpwstr>mailto:Welford.King@VDOT.Virginia.gov</vt:lpwstr>
      </vt:variant>
      <vt:variant>
        <vt:lpwstr/>
      </vt:variant>
      <vt:variant>
        <vt:i4>393227</vt:i4>
      </vt:variant>
      <vt:variant>
        <vt:i4>12</vt:i4>
      </vt:variant>
      <vt:variant>
        <vt:i4>0</vt:i4>
      </vt:variant>
      <vt:variant>
        <vt:i4>5</vt:i4>
      </vt:variant>
      <vt:variant>
        <vt:lpwstr>https://insidevdot.cov.virginia.gov/div/sc/Design/Specs/Book/DRAFT 2014 Spec Book Viewing Library/Book14M----705-LIGHTING SYSTEMS.doc</vt:lpwstr>
      </vt:variant>
      <vt:variant>
        <vt:lpwstr/>
      </vt:variant>
      <vt:variant>
        <vt:i4>4718708</vt:i4>
      </vt:variant>
      <vt:variant>
        <vt:i4>9</vt:i4>
      </vt:variant>
      <vt:variant>
        <vt:i4>0</vt:i4>
      </vt:variant>
      <vt:variant>
        <vt:i4>5</vt:i4>
      </vt:variant>
      <vt:variant>
        <vt:lpwstr>mailto:David.Gayle@VDOT.Virginia.gov</vt:lpwstr>
      </vt:variant>
      <vt:variant>
        <vt:lpwstr/>
      </vt:variant>
      <vt:variant>
        <vt:i4>6684714</vt:i4>
      </vt:variant>
      <vt:variant>
        <vt:i4>6</vt:i4>
      </vt:variant>
      <vt:variant>
        <vt:i4>0</vt:i4>
      </vt:variant>
      <vt:variant>
        <vt:i4>5</vt:i4>
      </vt:variant>
      <vt:variant>
        <vt:lpwstr>https://insidevdot.cov.virginia.gov/div/sc/Design/Specs/SitePages/Home.aspx</vt:lpwstr>
      </vt:variant>
      <vt:variant>
        <vt:lpwstr/>
      </vt:variant>
      <vt:variant>
        <vt:i4>2687076</vt:i4>
      </vt:variant>
      <vt:variant>
        <vt:i4>3</vt:i4>
      </vt:variant>
      <vt:variant>
        <vt:i4>0</vt:i4>
      </vt:variant>
      <vt:variant>
        <vt:i4>5</vt:i4>
      </vt:variant>
      <vt:variant>
        <vt:lpwstr>https://insidevdot.cov.virginia.gov/div/sc/Design/Specs/Book/Markup 2014 2007 Spec Book Showing Markups/Book07M----705-LIGHTING SYSTEMS.doc</vt:lpwstr>
      </vt:variant>
      <vt:variant>
        <vt:lpwstr/>
      </vt:variant>
      <vt:variant>
        <vt:i4>1179688</vt:i4>
      </vt:variant>
      <vt:variant>
        <vt:i4>0</vt:i4>
      </vt:variant>
      <vt:variant>
        <vt:i4>0</vt:i4>
      </vt:variant>
      <vt:variant>
        <vt:i4>5</vt:i4>
      </vt:variant>
      <vt:variant>
        <vt:lpwstr>http://www.virginiadot.org/business/const/construction_directive_memoranda_2011-2014.asp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Systems</dc:title>
  <dc:creator>vdot</dc:creator>
  <cp:lastModifiedBy>Changes</cp:lastModifiedBy>
  <cp:revision>3</cp:revision>
  <dcterms:created xsi:type="dcterms:W3CDTF">2020-01-06T19:48:00Z</dcterms:created>
  <dcterms:modified xsi:type="dcterms:W3CDTF">2020-01-06T19:48:00Z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/insidevdot/div/sc/Design/Specs/Book|2018934b-f6de-4a4e-bdd9-463918938843</vt:lpwstr>
  </property>
  <property fmtid="{D5CDD505-2E9C-101B-9397-08002B2CF9AE}" pid="4" name="_dlc_DocIdItemGuid">
    <vt:lpwstr>2018934b-f6de-4a4e-bdd9-463918938843</vt:lpwstr>
  </property>
  <property fmtid="{D5CDD505-2E9C-101B-9397-08002B2CF9AE}" pid="5" name="_dlc_DocIdUrl">
    <vt:lpwstr>https://insidevdot.cov.virginia.gov/div/sc/Design/Specs/Book/_layouts/DocIdRedir.aspx?ID=%2finsidevdot%2fdiv%2fsc%2fDesign%2fSpecs%2fBook%7c2018934b-f6de-4a4e-bdd9-463918938843, /insidevdot/div/sc/Design/Specs/Book|2018934b-f6de-4a4e-bdd9-463918938843</vt:lpwstr>
  </property>
  <property fmtid="{D5CDD505-2E9C-101B-9397-08002B2CF9AE}" pid="6" name="Locked">
    <vt:lpwstr>N</vt:lpwstr>
  </property>
  <property fmtid="{D5CDD505-2E9C-101B-9397-08002B2CF9AE}" pid="7" name="Order">
    <vt:r8>14300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BK705-002016-00</vt:lpwstr>
  </property>
  <property fmtid="{D5CDD505-2E9C-101B-9397-08002B2CF9AE}" pid="16" name="Availability Date">
    <vt:filetime>2016-07-01T04:00:00Z</vt:filetime>
  </property>
  <property fmtid="{D5CDD505-2E9C-101B-9397-08002B2CF9AE}" pid="17" name="Sect">
    <vt:lpwstr>705</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VII</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