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74E57" w:rsidRPr="00823C0A" w:rsidP="00B74E57" w14:paraId="4453CE9E" w14:textId="6046EEF3">
      <w:pPr>
        <w:jc w:val="both"/>
        <w:rPr>
          <w:bCs/>
          <w:vanish/>
          <w:color w:val="FF0000"/>
          <w:sz w:val="18"/>
          <w:szCs w:val="18"/>
        </w:rPr>
      </w:pPr>
      <w:r w:rsidRPr="00823C0A">
        <w:rPr>
          <w:b/>
          <w:vanish/>
          <w:color w:val="FF0000"/>
          <w:spacing w:val="-3"/>
          <w:sz w:val="18"/>
          <w:szCs w:val="18"/>
        </w:rPr>
        <w:t xml:space="preserve">GUIDELINES — </w:t>
      </w:r>
      <w:r w:rsidRPr="00823C0A" w:rsidR="00C01781">
        <w:rPr>
          <w:vanish/>
          <w:color w:val="FF0000"/>
          <w:spacing w:val="-3"/>
          <w:sz w:val="18"/>
        </w:rPr>
        <w:t xml:space="preserve">Use </w:t>
      </w:r>
      <w:r w:rsidRPr="00823C0A" w:rsidR="00C01781">
        <w:rPr>
          <w:vanish/>
          <w:color w:val="FF0000"/>
          <w:sz w:val="18"/>
        </w:rPr>
        <w:t>when requested by the Designer</w:t>
      </w:r>
      <w:r w:rsidRPr="00823C0A">
        <w:rPr>
          <w:vanish/>
          <w:color w:val="FF0000"/>
          <w:sz w:val="18"/>
          <w:szCs w:val="18"/>
        </w:rPr>
        <w:t>.</w:t>
      </w:r>
      <w:r w:rsidRPr="00823C0A" w:rsidR="006F4259">
        <w:rPr>
          <w:vanish/>
          <w:color w:val="FF0000"/>
          <w:sz w:val="18"/>
        </w:rPr>
        <w:t>{2007-</w:t>
      </w:r>
      <w:hyperlink w:history="1">
        <w:r w:rsidRPr="00823C0A" w:rsidR="00EF42D3">
          <w:rPr>
            <w:rStyle w:val="Hyperlink"/>
            <w:vanish/>
            <w:color w:val="FF0000"/>
            <w:sz w:val="18"/>
            <w:szCs w:val="18"/>
          </w:rPr>
          <w:t>S208B00</w:t>
        </w:r>
      </w:hyperlink>
      <w:r w:rsidRPr="00823C0A" w:rsidR="006F4259">
        <w:rPr>
          <w:vanish/>
          <w:color w:val="FF0000"/>
          <w:sz w:val="18"/>
        </w:rPr>
        <w:t>}</w:t>
      </w:r>
    </w:p>
    <w:p w:rsidR="00B74E57" w:rsidRPr="00823C0A" w:rsidP="00B74E57" w14:paraId="5E2A6A46" w14:textId="77777777">
      <w:pPr>
        <w:jc w:val="both"/>
        <w:rPr>
          <w:vanish/>
          <w:color w:val="FF0000"/>
          <w:sz w:val="18"/>
          <w:szCs w:val="18"/>
        </w:rPr>
      </w:pPr>
    </w:p>
    <w:p w:rsidR="00B74E57" w:rsidRPr="005B7550" w:rsidP="00B74E57" w14:paraId="1C3BE855" w14:textId="59B1E672">
      <w:pPr>
        <w:ind w:left="1530" w:hanging="1530"/>
      </w:pPr>
      <w:hyperlink r:id="rId8" w:tooltip="SECTION 208—SUBBASE AND AGGREGATE BASE MATERIAL [Crushed Hydraulic Cement Concrete (CHCC)] 7-12-16 Guidelines-Use when requested by the Designer.{2007-S208B00}" w:history="1">
        <w:r>
          <w:rPr>
            <w:rStyle w:val="Hyperlink"/>
            <w:b/>
            <w:bCs/>
          </w:rPr>
          <w:t>SP208-000100-00</w:t>
        </w:r>
      </w:hyperlink>
      <w:bookmarkStart w:id="0" w:name="_GoBack"/>
      <w:bookmarkEnd w:id="0"/>
    </w:p>
    <w:p w:rsidR="0070749F" w:rsidP="00B74E57" w14:paraId="4D54A4CE" w14:textId="77777777">
      <w:pPr>
        <w:suppressAutoHyphens/>
        <w:jc w:val="center"/>
      </w:pPr>
    </w:p>
    <w:p w:rsidR="00B74E57" w:rsidRPr="00C05995" w:rsidP="00B74E57" w14:paraId="414CC3BE" w14:textId="77777777">
      <w:pPr>
        <w:suppressAutoHyphens/>
        <w:jc w:val="center"/>
      </w:pPr>
      <w:r w:rsidRPr="00C05995">
        <w:t>VIRGINIA DEPARTMENT OF TRANSPORTATION</w:t>
      </w:r>
    </w:p>
    <w:p w:rsidR="00B74E57" w:rsidRPr="00C05995" w:rsidP="00B74E57" w14:paraId="38FE3913" w14:textId="77777777">
      <w:pPr>
        <w:suppressAutoHyphens/>
        <w:jc w:val="center"/>
      </w:pPr>
      <w:r w:rsidRPr="00C05995">
        <w:t>SPECIAL PROVISION FOR</w:t>
      </w:r>
    </w:p>
    <w:p w:rsidR="00B74E57" w:rsidP="00B74E57" w14:paraId="0BE05AB5" w14:textId="2F4C13ED">
      <w:pPr>
        <w:jc w:val="center"/>
        <w:rPr>
          <w:b/>
        </w:rPr>
      </w:pPr>
      <w:r>
        <w:rPr>
          <w:b/>
          <w:color w:val="000000"/>
        </w:rPr>
        <w:t>SECTION 208—SUBBASE AND AGGREGATE BASE MATERIAL</w:t>
      </w:r>
      <w:r w:rsidRPr="00C05995">
        <w:rPr>
          <w:b/>
        </w:rPr>
        <w:t xml:space="preserve"> </w:t>
      </w:r>
      <w:r>
        <w:rPr>
          <w:b/>
        </w:rPr>
        <w:fldChar w:fldCharType="begin"/>
      </w:r>
      <w:r w:rsidRPr="00C05995">
        <w:instrText xml:space="preserve"> TC "</w:instrText>
      </w:r>
      <w:bookmarkStart w:id="1" w:name="_Toc447708137"/>
      <w:bookmarkStart w:id="2" w:name="_Toc448144509"/>
      <w:bookmarkStart w:id="3" w:name="_Toc452445708"/>
      <w:r w:rsidRPr="00C05995">
        <w:rPr>
          <w:b/>
        </w:rPr>
        <w:instrText>SP2</w:instrText>
      </w:r>
      <w:r>
        <w:rPr>
          <w:b/>
        </w:rPr>
        <w:instrText>08</w:instrText>
      </w:r>
      <w:r w:rsidRPr="00C05995">
        <w:rPr>
          <w:b/>
        </w:rPr>
        <w:instrText>-000100-00</w:instrText>
      </w:r>
      <w:r w:rsidRPr="00C05995">
        <w:rPr>
          <w:spacing w:val="-3"/>
        </w:rPr>
        <w:instrText>   </w:instrText>
      </w:r>
      <w:r>
        <w:rPr>
          <w:b/>
          <w:color w:val="000000"/>
        </w:rPr>
        <w:instrText>SEC</w:instrText>
      </w:r>
      <w:r w:rsidR="009E6AA2">
        <w:rPr>
          <w:b/>
          <w:color w:val="000000"/>
        </w:rPr>
        <w:instrText>.</w:instrText>
      </w:r>
      <w:r>
        <w:rPr>
          <w:b/>
          <w:color w:val="000000"/>
        </w:rPr>
        <w:instrText xml:space="preserve"> 208—SUBBASE </w:instrText>
      </w:r>
      <w:r w:rsidR="009E6AA2">
        <w:rPr>
          <w:b/>
          <w:color w:val="000000"/>
        </w:rPr>
        <w:instrText>&amp;</w:instrText>
      </w:r>
      <w:r>
        <w:rPr>
          <w:b/>
          <w:color w:val="000000"/>
        </w:rPr>
        <w:instrText xml:space="preserve"> AGGR</w:instrText>
      </w:r>
      <w:r w:rsidR="00672FFE">
        <w:rPr>
          <w:b/>
          <w:color w:val="000000"/>
        </w:rPr>
        <w:instrText>.</w:instrText>
      </w:r>
      <w:r>
        <w:rPr>
          <w:b/>
          <w:color w:val="000000"/>
        </w:rPr>
        <w:instrText xml:space="preserve"> BASE MAT</w:instrText>
      </w:r>
      <w:r w:rsidR="00C01781">
        <w:rPr>
          <w:b/>
          <w:color w:val="000000"/>
        </w:rPr>
        <w:instrText>ERIAL</w:instrText>
      </w:r>
      <w:r w:rsidRPr="00672FFE" w:rsidR="00672FFE">
        <w:rPr>
          <w:color w:val="000000"/>
        </w:rPr>
        <w:instrText xml:space="preserve"> (CHCC)</w:instrText>
      </w:r>
      <w:r w:rsidRPr="00672FFE">
        <w:instrText xml:space="preserve">  </w:instrText>
      </w:r>
      <w:r>
        <w:instrText>7</w:instrText>
      </w:r>
      <w:r w:rsidRPr="00C05995">
        <w:instrText>-</w:instrText>
      </w:r>
      <w:r>
        <w:instrText>1</w:instrText>
      </w:r>
      <w:r w:rsidR="00F10C66">
        <w:instrText>2</w:instrText>
      </w:r>
      <w:r w:rsidRPr="00C05995">
        <w:instrText>-16</w:instrText>
      </w:r>
      <w:bookmarkEnd w:id="1"/>
      <w:bookmarkEnd w:id="2"/>
      <w:bookmarkEnd w:id="3"/>
      <w:r w:rsidRPr="00C05995">
        <w:instrText xml:space="preserve">" \f C \l "1" </w:instrText>
      </w:r>
      <w:r>
        <w:rPr>
          <w:b/>
        </w:rPr>
        <w:fldChar w:fldCharType="end"/>
      </w:r>
    </w:p>
    <w:p w:rsidR="00672FFE" w:rsidRPr="00C05995" w:rsidP="00B74E57" w14:paraId="35E6B9CD" w14:textId="437298BE">
      <w:pPr>
        <w:jc w:val="center"/>
      </w:pPr>
      <w:r>
        <w:rPr>
          <w:b/>
          <w:color w:val="000000"/>
        </w:rPr>
        <w:t>Crushed Hydraulic Cement Concrete</w:t>
      </w:r>
      <w:r w:rsidRPr="00672FFE">
        <w:rPr>
          <w:b/>
        </w:rPr>
        <w:t xml:space="preserve"> (CHCC)</w:t>
      </w:r>
    </w:p>
    <w:p w:rsidR="00B74E57" w:rsidRPr="00C05995" w:rsidP="00B74E57" w14:paraId="39048C33" w14:textId="77777777">
      <w:pPr>
        <w:suppressAutoHyphens/>
      </w:pPr>
    </w:p>
    <w:p w:rsidR="00B74E57" w:rsidRPr="00C05995" w:rsidP="00B74E57" w14:paraId="7E834E13" w14:textId="387F528F">
      <w:pPr>
        <w:suppressAutoHyphens/>
        <w:jc w:val="right"/>
      </w:pPr>
      <w:r>
        <w:t>July</w:t>
      </w:r>
      <w:r w:rsidRPr="00C05995">
        <w:t xml:space="preserve"> </w:t>
      </w:r>
      <w:r>
        <w:t>1</w:t>
      </w:r>
      <w:r w:rsidR="00F10C66">
        <w:t>2</w:t>
      </w:r>
      <w:r w:rsidRPr="00C05995">
        <w:t>, 2016</w:t>
      </w:r>
    </w:p>
    <w:p w:rsidR="00E14778" w:rsidP="00E14778" w14:paraId="5E33B4DE" w14:textId="77777777">
      <w:pPr>
        <w:jc w:val="both"/>
        <w:rPr>
          <w:color w:val="000000"/>
        </w:rPr>
      </w:pPr>
    </w:p>
    <w:p w:rsidR="00E14778" w:rsidP="00E14778" w14:paraId="00AE9AC5" w14:textId="77777777">
      <w:pPr>
        <w:jc w:val="both"/>
        <w:rPr>
          <w:color w:val="000000"/>
        </w:rPr>
      </w:pPr>
      <w:r>
        <w:rPr>
          <w:b/>
          <w:color w:val="000000"/>
        </w:rPr>
        <w:t>SECTION 208—SUBBASE AND AGGREGATE BASE MATERIAL</w:t>
      </w:r>
      <w:r>
        <w:rPr>
          <w:color w:val="000000"/>
        </w:rPr>
        <w:t xml:space="preserve"> of the Specifications is amended as follows:</w:t>
      </w:r>
    </w:p>
    <w:p w:rsidR="00E14778" w:rsidP="00E14778" w14:paraId="45741D2E" w14:textId="77777777">
      <w:pPr>
        <w:jc w:val="both"/>
        <w:rPr>
          <w:color w:val="000000"/>
        </w:rPr>
      </w:pPr>
    </w:p>
    <w:p w:rsidR="00E14778" w:rsidP="00E14778" w14:paraId="12904E99" w14:textId="77777777">
      <w:pPr>
        <w:ind w:left="360"/>
        <w:jc w:val="both"/>
        <w:rPr>
          <w:color w:val="000000"/>
        </w:rPr>
      </w:pPr>
      <w:r>
        <w:rPr>
          <w:b/>
          <w:color w:val="000000"/>
        </w:rPr>
        <w:t>Section 208.02—Materials</w:t>
      </w:r>
      <w:r>
        <w:rPr>
          <w:color w:val="000000"/>
        </w:rPr>
        <w:t xml:space="preserve"> is replaced with the following:</w:t>
      </w:r>
    </w:p>
    <w:p w:rsidR="00E14778" w:rsidP="00E14778" w14:paraId="4523FD34" w14:textId="77777777">
      <w:pPr>
        <w:jc w:val="both"/>
        <w:rPr>
          <w:color w:val="000000"/>
        </w:rPr>
      </w:pPr>
    </w:p>
    <w:p w:rsidR="00E14778" w:rsidP="00E14778" w14:paraId="10B58185" w14:textId="7F770A04">
      <w:pPr>
        <w:ind w:left="1080" w:hanging="360"/>
        <w:jc w:val="both"/>
        <w:rPr>
          <w:color w:val="000000"/>
        </w:rPr>
      </w:pPr>
      <w:r>
        <w:rPr>
          <w:color w:val="000000"/>
        </w:rPr>
        <w:t>(a)</w:t>
      </w:r>
      <w:r>
        <w:rPr>
          <w:color w:val="000000"/>
        </w:rPr>
        <w:tab/>
      </w:r>
      <w:r>
        <w:rPr>
          <w:b/>
          <w:color w:val="000000"/>
        </w:rPr>
        <w:t>Subbase material</w:t>
      </w:r>
      <w:r>
        <w:rPr>
          <w:color w:val="000000"/>
        </w:rPr>
        <w:t xml:space="preserve"> may consist of any mixture of natural or crushed gravel, crushed stone or slag, </w:t>
      </w:r>
      <w:r w:rsidRPr="00672FFE">
        <w:rPr>
          <w:b/>
          <w:color w:val="000000"/>
        </w:rPr>
        <w:t>crushed hydraulic cement concrete (CHCC)</w:t>
      </w:r>
      <w:r>
        <w:rPr>
          <w:color w:val="000000"/>
        </w:rPr>
        <w:t xml:space="preserve">, </w:t>
      </w:r>
      <w:r w:rsidR="00024CFD">
        <w:rPr>
          <w:color w:val="000000"/>
        </w:rPr>
        <w:t xml:space="preserve">and </w:t>
      </w:r>
      <w:r>
        <w:rPr>
          <w:color w:val="000000"/>
        </w:rPr>
        <w:t>natural or crushed sand; with or without soil mortar.  Subbase material may be used in a stabilized or unstabilized form.</w:t>
      </w:r>
    </w:p>
    <w:p w:rsidR="00E14778" w:rsidP="00E14778" w14:paraId="1E3685B0" w14:textId="77777777">
      <w:pPr>
        <w:ind w:left="1080" w:hanging="360"/>
        <w:jc w:val="both"/>
        <w:rPr>
          <w:color w:val="000000"/>
        </w:rPr>
      </w:pPr>
    </w:p>
    <w:p w:rsidR="00221B47" w:rsidP="00E14778" w14:paraId="2E163C28" w14:textId="77777777">
      <w:pPr>
        <w:ind w:left="1080" w:hanging="360"/>
        <w:jc w:val="both"/>
        <w:rPr>
          <w:color w:val="000000"/>
        </w:rPr>
      </w:pPr>
      <w:r>
        <w:rPr>
          <w:color w:val="000000"/>
        </w:rPr>
        <w:t>(b)</w:t>
      </w:r>
      <w:r>
        <w:rPr>
          <w:b/>
          <w:color w:val="000000"/>
        </w:rPr>
        <w:tab/>
        <w:t>Aggregate base material</w:t>
      </w:r>
      <w:r>
        <w:rPr>
          <w:color w:val="000000"/>
        </w:rPr>
        <w:t xml:space="preserve"> may be designated as Type I or Type II as follows:</w:t>
      </w:r>
    </w:p>
    <w:p w:rsidR="00221B47" w:rsidP="00E14778" w14:paraId="17AE25C0" w14:textId="77777777">
      <w:pPr>
        <w:ind w:left="1080" w:hanging="360"/>
        <w:jc w:val="both"/>
        <w:rPr>
          <w:color w:val="000000"/>
        </w:rPr>
      </w:pPr>
    </w:p>
    <w:p w:rsidR="00070D74" w:rsidP="008A0ED4" w14:paraId="5249D206" w14:textId="65B2FC1D">
      <w:pPr>
        <w:ind w:left="1080"/>
        <w:jc w:val="both"/>
        <w:rPr>
          <w:color w:val="000000"/>
        </w:rPr>
      </w:pPr>
      <w:r>
        <w:rPr>
          <w:b/>
          <w:color w:val="000000"/>
        </w:rPr>
        <w:t>Type I</w:t>
      </w:r>
      <w:r>
        <w:rPr>
          <w:color w:val="000000"/>
        </w:rPr>
        <w:t xml:space="preserve"> shall consist of crushed stone, crushed slag, crushed hydraulic cement concrete (CHCC), crushed gravel or any combination of these material: with or without soil mortar or other admixtures.  Crushed gravel shall consist of particles of which at least 90 percent by weight of the material retained on the No. 10 sieve shall have at least one face fractured by artificial crushing.</w:t>
      </w:r>
    </w:p>
    <w:p w:rsidR="00070D74" w:rsidP="008A0ED4" w14:paraId="4571FDA2" w14:textId="77777777">
      <w:pPr>
        <w:ind w:left="1080"/>
        <w:jc w:val="both"/>
        <w:rPr>
          <w:color w:val="000000"/>
        </w:rPr>
      </w:pPr>
    </w:p>
    <w:p w:rsidR="00E14778" w:rsidP="008A0ED4" w14:paraId="2CB37785" w14:textId="0179821C">
      <w:pPr>
        <w:ind w:left="1080"/>
        <w:jc w:val="both"/>
        <w:rPr>
          <w:color w:val="000000"/>
        </w:rPr>
      </w:pPr>
      <w:r>
        <w:rPr>
          <w:b/>
          <w:color w:val="000000"/>
        </w:rPr>
        <w:t>Type II</w:t>
      </w:r>
      <w:r>
        <w:rPr>
          <w:color w:val="000000"/>
        </w:rPr>
        <w:t xml:space="preserve"> shall consist of gravel, stone, or slag screening</w:t>
      </w:r>
      <w:r w:rsidR="00221B47">
        <w:rPr>
          <w:color w:val="000000"/>
        </w:rPr>
        <w:t>s</w:t>
      </w:r>
      <w:r>
        <w:rPr>
          <w:color w:val="000000"/>
        </w:rPr>
        <w:t>; fine aggregate and crushed coarse aggregate; sand-clay-gravel mixtures; crushed hydraulic cement concrete; or any combination of these materials; with or without soil mortar or other admixtures.  Aggregate base materials Type I or II may be used in a stabilized or unstabilized form.</w:t>
      </w:r>
    </w:p>
    <w:p w:rsidR="00E14778" w:rsidP="00E14778" w14:paraId="7BFD0733" w14:textId="77777777">
      <w:pPr>
        <w:ind w:left="1080" w:hanging="360"/>
        <w:jc w:val="both"/>
        <w:rPr>
          <w:color w:val="000000"/>
        </w:rPr>
      </w:pPr>
    </w:p>
    <w:p w:rsidR="00E14778" w:rsidP="00E14778" w14:paraId="350A2038" w14:textId="77777777">
      <w:pPr>
        <w:ind w:left="1080" w:hanging="360"/>
        <w:jc w:val="both"/>
        <w:rPr>
          <w:color w:val="000000"/>
        </w:rPr>
      </w:pPr>
      <w:r>
        <w:rPr>
          <w:bCs/>
          <w:color w:val="000000"/>
        </w:rPr>
        <w:t>(c)</w:t>
      </w:r>
      <w:r>
        <w:rPr>
          <w:bCs/>
          <w:color w:val="000000"/>
        </w:rPr>
        <w:tab/>
      </w:r>
      <w:r>
        <w:rPr>
          <w:b/>
          <w:color w:val="000000"/>
        </w:rPr>
        <w:t>Crushed Hydraulic Cement Concrete</w:t>
      </w:r>
      <w:r>
        <w:rPr>
          <w:color w:val="000000"/>
        </w:rPr>
        <w:t xml:space="preserve"> shall not be used as Subbase or aggregate base material when any subsurface drainage system, such as standard underdrains (UD-4 or UD-5) and /or a stabilized open graded aggregate drainage layer (OGDL) is present, except when the CHCC is cement stabilized.</w:t>
      </w:r>
    </w:p>
    <w:p w:rsidR="00E14778" w:rsidP="00E14778" w14:paraId="6082E560" w14:textId="77777777">
      <w:pPr>
        <w:jc w:val="both"/>
        <w:rPr>
          <w:color w:val="000000"/>
        </w:rPr>
      </w:pPr>
    </w:p>
    <w:p w:rsidR="00E14778" w:rsidP="00E14778" w14:paraId="18A67655" w14:textId="2D811396">
      <w:pPr>
        <w:ind w:left="360"/>
        <w:jc w:val="both"/>
        <w:rPr>
          <w:color w:val="000000"/>
        </w:rPr>
      </w:pPr>
      <w:r>
        <w:rPr>
          <w:b/>
          <w:color w:val="000000"/>
        </w:rPr>
        <w:t>Section 208.03(b) Atterberg Limits</w:t>
      </w:r>
      <w:r>
        <w:rPr>
          <w:color w:val="000000"/>
        </w:rPr>
        <w:t xml:space="preserve"> is amended to </w:t>
      </w:r>
      <w:r w:rsidR="000D4B44">
        <w:rPr>
          <w:color w:val="000000"/>
        </w:rPr>
        <w:t xml:space="preserve">include </w:t>
      </w:r>
      <w:r>
        <w:rPr>
          <w:color w:val="000000"/>
        </w:rPr>
        <w:t>the following:</w:t>
      </w:r>
    </w:p>
    <w:p w:rsidR="00E14778" w:rsidP="00E14778" w14:paraId="45166848" w14:textId="77777777">
      <w:pPr>
        <w:jc w:val="both"/>
        <w:rPr>
          <w:color w:val="000000"/>
        </w:rPr>
      </w:pPr>
    </w:p>
    <w:p w:rsidR="00E14778" w:rsidP="00E14778" w14:paraId="07AB5DFD" w14:textId="161F31AD">
      <w:pPr>
        <w:ind w:left="1800" w:hanging="1080"/>
        <w:jc w:val="both"/>
        <w:rPr>
          <w:color w:val="000000"/>
        </w:rPr>
      </w:pPr>
      <w:r>
        <w:rPr>
          <w:b/>
          <w:color w:val="000000"/>
        </w:rPr>
        <w:t>Plasticity:</w:t>
      </w:r>
      <w:r>
        <w:rPr>
          <w:color w:val="000000"/>
        </w:rPr>
        <w:tab/>
        <w:t xml:space="preserve">Subbase and aggregate base materials shall be either non-plastic (PI=0) or shall conform to Table II-11 of the Specifications when tested </w:t>
      </w:r>
      <w:r w:rsidR="00382E44">
        <w:rPr>
          <w:color w:val="000000"/>
        </w:rPr>
        <w:t>according to</w:t>
      </w:r>
      <w:r>
        <w:rPr>
          <w:color w:val="000000"/>
        </w:rPr>
        <w:t xml:space="preserve"> VTM-7.  If the material is classified as non-plastic (PI=0), </w:t>
      </w:r>
      <w:r w:rsidR="00382E44">
        <w:rPr>
          <w:color w:val="000000"/>
        </w:rPr>
        <w:t>according to</w:t>
      </w:r>
      <w:r>
        <w:rPr>
          <w:color w:val="000000"/>
        </w:rPr>
        <w:t xml:space="preserve"> VTM-7, the Liquid Limit requirement will be waived.  Exceptions to this provision are noted as follows:</w:t>
      </w:r>
    </w:p>
    <w:p w:rsidR="00E14778" w:rsidP="00E14778" w14:paraId="54415F7E" w14:textId="77777777">
      <w:pPr>
        <w:ind w:left="2160" w:hanging="360"/>
        <w:jc w:val="both"/>
        <w:rPr>
          <w:color w:val="000000"/>
        </w:rPr>
      </w:pPr>
    </w:p>
    <w:p w:rsidR="00E14778" w:rsidP="00E14778" w14:paraId="6AF94188" w14:textId="77777777">
      <w:pPr>
        <w:ind w:left="2160" w:hanging="360"/>
        <w:jc w:val="both"/>
      </w:pPr>
      <w:r>
        <w:t>1.</w:t>
      </w:r>
      <w:r>
        <w:tab/>
        <w:t>100% CHCC and 20% or less CHCC Blends will be tested and subject to penalty as noted in Table II-11</w:t>
      </w:r>
      <w:r>
        <w:rPr>
          <w:color w:val="000000"/>
        </w:rPr>
        <w:t xml:space="preserve"> of the Specifications</w:t>
      </w:r>
      <w:r>
        <w:t xml:space="preserve"> for the plasticity index, excluding Liquid Limit penalties.</w:t>
      </w:r>
    </w:p>
    <w:p w:rsidR="00E14778" w:rsidP="00E14778" w14:paraId="7753F9A9" w14:textId="77777777">
      <w:pPr>
        <w:ind w:left="2160" w:hanging="360"/>
        <w:jc w:val="both"/>
      </w:pPr>
    </w:p>
    <w:p w:rsidR="00E14778" w:rsidP="00E14778" w14:paraId="6B9DC0F4" w14:textId="77777777">
      <w:pPr>
        <w:ind w:left="2160" w:hanging="360"/>
        <w:jc w:val="both"/>
      </w:pPr>
      <w:r>
        <w:t>2.</w:t>
      </w:r>
      <w:r>
        <w:tab/>
        <w:t>Greater than 20% CHCC Blends will follow testing guidelines as set forth in Section 208.06 (b) for Atterburg limits.</w:t>
      </w:r>
    </w:p>
    <w:p w:rsidR="00E14778" w:rsidP="00E14778" w14:paraId="1E003486" w14:textId="77777777">
      <w:pPr>
        <w:ind w:left="2160" w:hanging="360"/>
        <w:jc w:val="both"/>
        <w:rPr>
          <w:color w:val="000000"/>
        </w:rPr>
      </w:pPr>
    </w:p>
    <w:p w:rsidR="00E14778" w:rsidP="00E14778" w14:paraId="08EBB11B" w14:textId="77777777">
      <w:pPr>
        <w:ind w:left="360"/>
        <w:jc w:val="both"/>
        <w:rPr>
          <w:color w:val="000000"/>
        </w:rPr>
      </w:pPr>
      <w:r>
        <w:rPr>
          <w:b/>
          <w:color w:val="000000"/>
        </w:rPr>
        <w:t>Section 208.03</w:t>
      </w:r>
      <w:r>
        <w:rPr>
          <w:color w:val="000000"/>
        </w:rPr>
        <w:t xml:space="preserve"> is amended to add the following:</w:t>
      </w:r>
    </w:p>
    <w:p w:rsidR="00E14778" w:rsidP="00E14778" w14:paraId="54F603AB" w14:textId="77777777">
      <w:pPr>
        <w:jc w:val="both"/>
        <w:rPr>
          <w:color w:val="000000"/>
        </w:rPr>
      </w:pPr>
    </w:p>
    <w:p w:rsidR="00E14778" w:rsidP="00E14778" w14:paraId="7CF78D0F" w14:textId="77777777">
      <w:pPr>
        <w:ind w:left="1080" w:hanging="360"/>
        <w:jc w:val="both"/>
      </w:pPr>
      <w:r>
        <w:rPr>
          <w:bCs/>
          <w:color w:val="000000"/>
        </w:rPr>
        <w:t>(h)</w:t>
      </w:r>
      <w:r>
        <w:rPr>
          <w:bCs/>
          <w:color w:val="000000"/>
        </w:rPr>
        <w:tab/>
      </w:r>
      <w:r>
        <w:rPr>
          <w:b/>
          <w:color w:val="000000"/>
        </w:rPr>
        <w:t xml:space="preserve">Deleterious Material: </w:t>
      </w:r>
      <w:r>
        <w:t>The quantity of deleterious materials present in stockpiles of Crushed Hydraulic Cement Concrete, to be used in blending with virgin aggregates or as 100 percent CHCC, shall not exceed the following values:</w:t>
      </w:r>
    </w:p>
    <w:p w:rsidR="00E14778" w:rsidP="00E14778" w14:paraId="3FEB85C4" w14:textId="77777777">
      <w:pPr>
        <w:jc w:val="both"/>
        <w:rPr>
          <w:color w:val="000000"/>
        </w:rPr>
      </w:pPr>
    </w:p>
    <w:tbl>
      <w:tblPr>
        <w:tblW w:w="0" w:type="auto"/>
        <w:tblInd w:w="1188" w:type="dxa"/>
        <w:tblBorders>
          <w:top w:val="single" w:sz="4" w:space="0" w:color="auto"/>
          <w:bottom w:val="single" w:sz="4" w:space="0" w:color="auto"/>
        </w:tblBorders>
        <w:tblLayout w:type="fixed"/>
        <w:tblLook w:val="0000"/>
      </w:tblPr>
      <w:tblGrid>
        <w:gridCol w:w="4950"/>
        <w:gridCol w:w="3240"/>
      </w:tblGrid>
      <w:tr w14:paraId="6F65B620" w14:textId="77777777" w:rsidTr="003F286D">
        <w:tblPrEx>
          <w:tblW w:w="0" w:type="auto"/>
          <w:tblInd w:w="1188" w:type="dxa"/>
          <w:tblBorders>
            <w:top w:val="single" w:sz="4" w:space="0" w:color="auto"/>
            <w:bottom w:val="single" w:sz="4" w:space="0" w:color="auto"/>
          </w:tblBorders>
          <w:tblLayout w:type="fixed"/>
          <w:tblLook w:val="0000"/>
        </w:tblPrEx>
        <w:tc>
          <w:tcPr>
            <w:tcW w:w="4950" w:type="dxa"/>
            <w:tcBorders>
              <w:top w:val="single" w:sz="4" w:space="0" w:color="auto"/>
              <w:bottom w:val="single" w:sz="4" w:space="0" w:color="auto"/>
            </w:tcBorders>
          </w:tcPr>
          <w:p w:rsidR="00E14778" w:rsidP="003F286D" w14:paraId="497779DB" w14:textId="77777777">
            <w:pPr>
              <w:jc w:val="center"/>
              <w:rPr>
                <w:b/>
                <w:color w:val="000000"/>
              </w:rPr>
            </w:pPr>
            <w:r>
              <w:rPr>
                <w:b/>
                <w:color w:val="000000"/>
              </w:rPr>
              <w:t>MATERIAL</w:t>
            </w:r>
          </w:p>
        </w:tc>
        <w:tc>
          <w:tcPr>
            <w:tcW w:w="3240" w:type="dxa"/>
            <w:tcBorders>
              <w:top w:val="single" w:sz="4" w:space="0" w:color="auto"/>
              <w:bottom w:val="single" w:sz="4" w:space="0" w:color="auto"/>
            </w:tcBorders>
          </w:tcPr>
          <w:p w:rsidR="00E14778" w:rsidP="003F286D" w14:paraId="078AB59B" w14:textId="77777777">
            <w:pPr>
              <w:jc w:val="center"/>
              <w:rPr>
                <w:b/>
                <w:i/>
                <w:color w:val="000000"/>
              </w:rPr>
            </w:pPr>
            <w:r>
              <w:rPr>
                <w:b/>
                <w:color w:val="000000"/>
              </w:rPr>
              <w:t xml:space="preserve">PERCENT BY WEIGHT </w:t>
            </w:r>
            <w:r>
              <w:rPr>
                <w:b/>
                <w:i/>
                <w:color w:val="000000"/>
              </w:rPr>
              <w:t>(MASS)</w:t>
            </w:r>
          </w:p>
        </w:tc>
      </w:tr>
      <w:tr w14:paraId="32986166" w14:textId="77777777" w:rsidTr="003F286D">
        <w:tblPrEx>
          <w:tblW w:w="0" w:type="auto"/>
          <w:tblInd w:w="1188" w:type="dxa"/>
          <w:tblLayout w:type="fixed"/>
          <w:tblLook w:val="0000"/>
        </w:tblPrEx>
        <w:tc>
          <w:tcPr>
            <w:tcW w:w="4950" w:type="dxa"/>
            <w:tcBorders>
              <w:top w:val="single" w:sz="4" w:space="0" w:color="auto"/>
            </w:tcBorders>
          </w:tcPr>
          <w:p w:rsidR="00E14778" w:rsidP="003F286D" w14:paraId="2C08DA05" w14:textId="77777777">
            <w:pPr>
              <w:jc w:val="center"/>
              <w:rPr>
                <w:color w:val="000000"/>
              </w:rPr>
            </w:pPr>
            <w:r>
              <w:rPr>
                <w:color w:val="000000"/>
              </w:rPr>
              <w:t>Asphalt Concrete</w:t>
            </w:r>
          </w:p>
        </w:tc>
        <w:tc>
          <w:tcPr>
            <w:tcW w:w="3240" w:type="dxa"/>
            <w:tcBorders>
              <w:top w:val="single" w:sz="4" w:space="0" w:color="auto"/>
            </w:tcBorders>
          </w:tcPr>
          <w:p w:rsidR="00E14778" w:rsidP="003F286D" w14:paraId="6AA0B6F9" w14:textId="77777777">
            <w:pPr>
              <w:ind w:left="1062"/>
              <w:jc w:val="center"/>
              <w:rPr>
                <w:color w:val="000000"/>
              </w:rPr>
            </w:pPr>
            <w:r>
              <w:rPr>
                <w:color w:val="000000"/>
              </w:rPr>
              <w:t>5.0</w:t>
            </w:r>
          </w:p>
        </w:tc>
      </w:tr>
      <w:tr w14:paraId="4322F903" w14:textId="77777777" w:rsidTr="003F286D">
        <w:tblPrEx>
          <w:tblW w:w="0" w:type="auto"/>
          <w:tblInd w:w="1188" w:type="dxa"/>
          <w:tblLayout w:type="fixed"/>
          <w:tblLook w:val="0000"/>
        </w:tblPrEx>
        <w:tc>
          <w:tcPr>
            <w:tcW w:w="4950" w:type="dxa"/>
          </w:tcPr>
          <w:p w:rsidR="00E14778" w:rsidP="003F286D" w14:paraId="1ADD51F6" w14:textId="77777777">
            <w:pPr>
              <w:jc w:val="center"/>
              <w:rPr>
                <w:color w:val="000000"/>
              </w:rPr>
            </w:pPr>
            <w:r>
              <w:rPr>
                <w:color w:val="000000"/>
              </w:rPr>
              <w:t>Glass and Metals</w:t>
            </w:r>
          </w:p>
        </w:tc>
        <w:tc>
          <w:tcPr>
            <w:tcW w:w="3240" w:type="dxa"/>
          </w:tcPr>
          <w:p w:rsidR="00E14778" w:rsidP="003F286D" w14:paraId="379DFDEB" w14:textId="77777777">
            <w:pPr>
              <w:ind w:left="1062"/>
              <w:jc w:val="center"/>
              <w:rPr>
                <w:color w:val="000000"/>
              </w:rPr>
            </w:pPr>
            <w:r>
              <w:rPr>
                <w:color w:val="000000"/>
              </w:rPr>
              <w:t>5.0</w:t>
            </w:r>
          </w:p>
        </w:tc>
      </w:tr>
      <w:tr w14:paraId="07134B6A" w14:textId="77777777" w:rsidTr="003F286D">
        <w:tblPrEx>
          <w:tblW w:w="0" w:type="auto"/>
          <w:tblInd w:w="1188" w:type="dxa"/>
          <w:tblLayout w:type="fixed"/>
          <w:tblLook w:val="0000"/>
        </w:tblPrEx>
        <w:tc>
          <w:tcPr>
            <w:tcW w:w="4950" w:type="dxa"/>
          </w:tcPr>
          <w:p w:rsidR="00E14778" w:rsidP="003F286D" w14:paraId="2FB7BD5C" w14:textId="77777777">
            <w:pPr>
              <w:jc w:val="center"/>
              <w:rPr>
                <w:color w:val="000000"/>
              </w:rPr>
            </w:pPr>
            <w:r>
              <w:rPr>
                <w:color w:val="000000"/>
              </w:rPr>
              <w:t>Wood, Plastic, Brick and other foreign matter</w:t>
            </w:r>
          </w:p>
        </w:tc>
        <w:tc>
          <w:tcPr>
            <w:tcW w:w="3240" w:type="dxa"/>
          </w:tcPr>
          <w:p w:rsidR="00E14778" w:rsidP="003F286D" w14:paraId="36E84106" w14:textId="77777777">
            <w:pPr>
              <w:ind w:left="1062"/>
              <w:jc w:val="center"/>
              <w:rPr>
                <w:color w:val="000000"/>
              </w:rPr>
            </w:pPr>
            <w:r>
              <w:rPr>
                <w:color w:val="000000"/>
              </w:rPr>
              <w:t>0.5</w:t>
            </w:r>
          </w:p>
        </w:tc>
      </w:tr>
    </w:tbl>
    <w:p w:rsidR="00E14778" w:rsidP="00E14778" w14:paraId="0A40D8E2" w14:textId="77777777">
      <w:pPr>
        <w:jc w:val="both"/>
        <w:rPr>
          <w:b/>
          <w:color w:val="000000"/>
        </w:rPr>
      </w:pPr>
    </w:p>
    <w:p w:rsidR="00E14778" w:rsidP="00E14778" w14:paraId="74CD127E" w14:textId="77777777">
      <w:pPr>
        <w:ind w:left="360"/>
        <w:jc w:val="both"/>
        <w:rPr>
          <w:color w:val="000000"/>
        </w:rPr>
      </w:pPr>
      <w:r>
        <w:rPr>
          <w:b/>
          <w:color w:val="000000"/>
        </w:rPr>
        <w:t>Section 208.04—Job-Mix Formula</w:t>
      </w:r>
      <w:r>
        <w:rPr>
          <w:color w:val="000000"/>
        </w:rPr>
        <w:t xml:space="preserve"> is replaced by the following:</w:t>
      </w:r>
    </w:p>
    <w:p w:rsidR="00E14778" w:rsidP="00E14778" w14:paraId="7A4B550B" w14:textId="77777777">
      <w:pPr>
        <w:ind w:left="360"/>
        <w:jc w:val="both"/>
        <w:rPr>
          <w:color w:val="000000"/>
        </w:rPr>
      </w:pPr>
    </w:p>
    <w:p w:rsidR="00E14778" w:rsidP="00E14778" w14:paraId="370A8F24" w14:textId="77777777">
      <w:pPr>
        <w:suppressAutoHyphens/>
        <w:ind w:left="1080" w:hanging="360"/>
        <w:jc w:val="both"/>
      </w:pPr>
      <w:r>
        <w:t>(a)</w:t>
      </w:r>
      <w:r>
        <w:tab/>
        <w:t>The Contractor shall submit, or shall have the source of supply submit, for the Engineer’s approval, a job-mix formula for each mixture to be supplied for the project prior to starting work.  The formula shall be within the design range specified in Table II-9</w:t>
      </w:r>
      <w:r>
        <w:rPr>
          <w:color w:val="000000"/>
        </w:rPr>
        <w:t xml:space="preserve"> of the Specifications</w:t>
      </w:r>
      <w:r>
        <w:t>.  If unsatisfactory results or other conditions make it necessary, the Contractor shall prepare and submit a new job-mix formula for approval.</w:t>
      </w:r>
    </w:p>
    <w:p w:rsidR="00E14778" w:rsidP="00E14778" w14:paraId="2B223391" w14:textId="77777777">
      <w:pPr>
        <w:ind w:left="1080" w:hanging="360"/>
        <w:jc w:val="both"/>
      </w:pPr>
    </w:p>
    <w:p w:rsidR="00E14778" w:rsidP="00E14778" w14:paraId="5A211332" w14:textId="77777777">
      <w:pPr>
        <w:ind w:left="1080" w:hanging="360"/>
        <w:jc w:val="both"/>
      </w:pPr>
      <w:r>
        <w:t>(b)</w:t>
      </w:r>
      <w:r>
        <w:tab/>
        <w:t>A job mix formula shall be submitted for the engineer’s approval for each category of CHCC mixture used.  Designated categories shall indicate the mixture percentage of CHCC used according to the following criteria:</w:t>
      </w:r>
    </w:p>
    <w:p w:rsidR="00E14778" w:rsidP="00E14778" w14:paraId="41EA56FB" w14:textId="77777777">
      <w:pPr>
        <w:ind w:left="1080" w:hanging="360"/>
        <w:jc w:val="both"/>
        <w:rPr>
          <w:b/>
        </w:rPr>
      </w:pPr>
    </w:p>
    <w:p w:rsidR="00E14778" w:rsidP="00E14778" w14:paraId="5617B1A6" w14:textId="77777777">
      <w:pPr>
        <w:ind w:left="1440" w:hanging="360"/>
        <w:jc w:val="both"/>
        <w:rPr>
          <w:color w:val="000000"/>
        </w:rPr>
      </w:pPr>
      <w:r>
        <w:rPr>
          <w:color w:val="000000"/>
        </w:rPr>
        <w:t>1.</w:t>
      </w:r>
      <w:r>
        <w:rPr>
          <w:b/>
          <w:color w:val="000000"/>
        </w:rPr>
        <w:tab/>
        <w:t>Category 1</w:t>
      </w:r>
      <w:r>
        <w:rPr>
          <w:color w:val="000000"/>
        </w:rPr>
        <w:t>: 100% CHCC</w:t>
      </w:r>
    </w:p>
    <w:p w:rsidR="00E14778" w:rsidP="00E14778" w14:paraId="66071EAB" w14:textId="77777777">
      <w:pPr>
        <w:ind w:left="1440"/>
        <w:jc w:val="both"/>
        <w:rPr>
          <w:color w:val="000000"/>
        </w:rPr>
      </w:pPr>
    </w:p>
    <w:p w:rsidR="00E14778" w:rsidP="00E14778" w14:paraId="3A307F81" w14:textId="77777777">
      <w:pPr>
        <w:ind w:left="1440"/>
        <w:jc w:val="both"/>
        <w:rPr>
          <w:color w:val="000000"/>
        </w:rPr>
      </w:pPr>
      <w:r>
        <w:rPr>
          <w:b/>
          <w:color w:val="000000"/>
        </w:rPr>
        <w:t>Category 2</w:t>
      </w:r>
      <w:r>
        <w:rPr>
          <w:color w:val="000000"/>
        </w:rPr>
        <w:t>: 20% or less CHCC (</w:t>
      </w:r>
      <w:r>
        <w:rPr>
          <w:rFonts w:ascii="WP MathA" w:hAnsi="WP MathA"/>
          <w:color w:val="000000"/>
        </w:rPr>
        <w:sym w:font="WP MathA" w:char="F023"/>
      </w:r>
      <w:r>
        <w:rPr>
          <w:color w:val="000000"/>
        </w:rPr>
        <w:t xml:space="preserve"> 20%)  </w:t>
      </w:r>
    </w:p>
    <w:p w:rsidR="00E14778" w:rsidP="00E14778" w14:paraId="71985B97" w14:textId="77777777">
      <w:pPr>
        <w:ind w:left="1440"/>
        <w:jc w:val="both"/>
        <w:rPr>
          <w:b/>
          <w:color w:val="000000"/>
        </w:rPr>
      </w:pPr>
    </w:p>
    <w:p w:rsidR="00E14778" w:rsidP="00E14778" w14:paraId="7CFEA6FD" w14:textId="77777777">
      <w:pPr>
        <w:ind w:left="1440"/>
        <w:jc w:val="both"/>
        <w:rPr>
          <w:color w:val="000000"/>
        </w:rPr>
      </w:pPr>
      <w:r>
        <w:rPr>
          <w:b/>
          <w:color w:val="000000"/>
        </w:rPr>
        <w:t>Category 3</w:t>
      </w:r>
      <w:r>
        <w:rPr>
          <w:color w:val="000000"/>
        </w:rPr>
        <w:t>: greater than 20% CHCC but less than 100% CHCC (&gt;20%&lt;100%)</w:t>
      </w:r>
    </w:p>
    <w:p w:rsidR="00E14778" w:rsidP="00E14778" w14:paraId="505930EB" w14:textId="77777777">
      <w:pPr>
        <w:ind w:left="1440"/>
        <w:jc w:val="both"/>
        <w:rPr>
          <w:color w:val="000000"/>
        </w:rPr>
      </w:pPr>
    </w:p>
    <w:p w:rsidR="00E14778" w:rsidP="00E14778" w14:paraId="08B68EB3" w14:textId="77777777">
      <w:pPr>
        <w:ind w:left="1440" w:hanging="360"/>
        <w:jc w:val="both"/>
      </w:pPr>
      <w:r>
        <w:t>2.</w:t>
      </w:r>
      <w:r>
        <w:tab/>
        <w:t>The quantity of CHCC in the mix shall be expressed as a percentage of the total</w:t>
      </w:r>
      <w:r>
        <w:rPr>
          <w:color w:val="0000FF"/>
        </w:rPr>
        <w:t xml:space="preserve"> </w:t>
      </w:r>
      <w:r>
        <w:t>mix.</w:t>
      </w:r>
    </w:p>
    <w:p w:rsidR="00E14778" w:rsidP="00E14778" w14:paraId="5E8D2F02" w14:textId="77777777">
      <w:pPr>
        <w:ind w:left="360"/>
        <w:jc w:val="both"/>
        <w:rPr>
          <w:color w:val="000000"/>
        </w:rPr>
      </w:pPr>
    </w:p>
    <w:p w:rsidR="00E14778" w:rsidP="00E14778" w14:paraId="69515297" w14:textId="4BD929CC">
      <w:pPr>
        <w:ind w:left="360"/>
        <w:jc w:val="both"/>
        <w:rPr>
          <w:color w:val="000000"/>
        </w:rPr>
      </w:pPr>
      <w:r>
        <w:rPr>
          <w:b/>
          <w:color w:val="000000"/>
        </w:rPr>
        <w:t>Section 208.06—Acceptance</w:t>
      </w:r>
      <w:r>
        <w:rPr>
          <w:color w:val="000000"/>
        </w:rPr>
        <w:t xml:space="preserve"> is</w:t>
      </w:r>
      <w:r w:rsidR="008A0ED4">
        <w:rPr>
          <w:color w:val="000000"/>
        </w:rPr>
        <w:t xml:space="preserve"> amended to include</w:t>
      </w:r>
      <w:r>
        <w:rPr>
          <w:color w:val="000000"/>
        </w:rPr>
        <w:t xml:space="preserve"> the following:</w:t>
      </w:r>
    </w:p>
    <w:p w:rsidR="00E14778" w:rsidP="00E14778" w14:paraId="6FDA5626" w14:textId="77777777">
      <w:pPr>
        <w:suppressAutoHyphens/>
        <w:ind w:left="720"/>
        <w:jc w:val="both"/>
        <w:rPr>
          <w:b/>
        </w:rPr>
      </w:pPr>
    </w:p>
    <w:p w:rsidR="00E14778" w:rsidP="00094D8A" w14:paraId="760BC3EB" w14:textId="20E91242">
      <w:pPr>
        <w:ind w:left="720"/>
        <w:jc w:val="both"/>
      </w:pPr>
      <w:r>
        <w:t>The following applies specifically to the use of Crushed Hydraulic Cement Concrete (CHCC) mixtures</w:t>
      </w:r>
      <w:r w:rsidR="0037082B">
        <w:t xml:space="preserve"> </w:t>
      </w:r>
      <w:r w:rsidR="00E50972">
        <w:t>in addition to the acceptance criteria</w:t>
      </w:r>
      <w:r w:rsidR="0037082B">
        <w:t xml:space="preserve"> specificed </w:t>
      </w:r>
      <w:r w:rsidR="00393986">
        <w:t>in this section</w:t>
      </w:r>
      <w:r w:rsidR="00E50972">
        <w:t>:</w:t>
      </w:r>
    </w:p>
    <w:p w:rsidR="00E14778" w:rsidP="00094D8A" w14:paraId="3C681744" w14:textId="77777777">
      <w:pPr>
        <w:ind w:left="1080" w:hanging="360"/>
        <w:jc w:val="both"/>
        <w:rPr>
          <w:color w:val="000000"/>
        </w:rPr>
      </w:pPr>
    </w:p>
    <w:p w:rsidR="00E14778" w:rsidP="00094D8A" w14:paraId="00516027" w14:textId="45C16E4C">
      <w:pPr>
        <w:ind w:left="1080" w:hanging="360"/>
        <w:jc w:val="both"/>
        <w:rPr>
          <w:color w:val="000000"/>
        </w:rPr>
      </w:pPr>
      <w:r>
        <w:rPr>
          <w:color w:val="000000"/>
        </w:rPr>
        <w:t>1.</w:t>
      </w:r>
      <w:r>
        <w:rPr>
          <w:color w:val="000000"/>
        </w:rPr>
        <w:tab/>
      </w:r>
      <w:r>
        <w:rPr>
          <w:b/>
          <w:color w:val="000000"/>
        </w:rPr>
        <w:t>100% CHCC</w:t>
      </w:r>
      <w:r>
        <w:rPr>
          <w:color w:val="000000"/>
        </w:rPr>
        <w:t xml:space="preserve"> shall conform to this special provision.</w:t>
      </w:r>
    </w:p>
    <w:p w:rsidR="00E14778" w:rsidP="00094D8A" w14:paraId="4CE2607B" w14:textId="77777777">
      <w:pPr>
        <w:ind w:left="1080" w:hanging="360"/>
        <w:jc w:val="both"/>
        <w:rPr>
          <w:color w:val="000000"/>
        </w:rPr>
      </w:pPr>
    </w:p>
    <w:p w:rsidR="00E14778" w:rsidP="00094D8A" w14:paraId="239C1DE3" w14:textId="28B13925">
      <w:pPr>
        <w:ind w:left="1080" w:hanging="360"/>
        <w:jc w:val="both"/>
        <w:rPr>
          <w:color w:val="000000"/>
        </w:rPr>
      </w:pPr>
      <w:r>
        <w:rPr>
          <w:color w:val="000000"/>
        </w:rPr>
        <w:t>2.</w:t>
      </w:r>
      <w:r>
        <w:rPr>
          <w:color w:val="000000"/>
        </w:rPr>
        <w:tab/>
      </w:r>
      <w:r>
        <w:rPr>
          <w:b/>
          <w:color w:val="000000"/>
        </w:rPr>
        <w:t>20% or Less CHCC</w:t>
      </w:r>
      <w:r>
        <w:rPr>
          <w:color w:val="000000"/>
        </w:rPr>
        <w:t xml:space="preserve"> </w:t>
      </w:r>
      <w:r>
        <w:rPr>
          <w:b/>
          <w:color w:val="000000"/>
        </w:rPr>
        <w:t>Blends</w:t>
      </w:r>
      <w:r>
        <w:rPr>
          <w:color w:val="000000"/>
        </w:rPr>
        <w:t xml:space="preserve"> shall conform to this special provision.</w:t>
      </w:r>
    </w:p>
    <w:p w:rsidR="00E14778" w:rsidP="00094D8A" w14:paraId="37334F1A" w14:textId="77777777">
      <w:pPr>
        <w:ind w:left="1080" w:hanging="360"/>
        <w:jc w:val="both"/>
        <w:rPr>
          <w:color w:val="000000"/>
        </w:rPr>
      </w:pPr>
    </w:p>
    <w:p w:rsidR="00E14778" w:rsidP="00094D8A" w14:paraId="466E76C8" w14:textId="77777777">
      <w:pPr>
        <w:ind w:left="1080" w:hanging="360"/>
        <w:jc w:val="both"/>
        <w:rPr>
          <w:color w:val="000000"/>
        </w:rPr>
      </w:pPr>
      <w:r>
        <w:rPr>
          <w:color w:val="000000"/>
        </w:rPr>
        <w:t>3.</w:t>
      </w:r>
      <w:r>
        <w:rPr>
          <w:color w:val="000000"/>
        </w:rPr>
        <w:tab/>
      </w:r>
      <w:r>
        <w:rPr>
          <w:b/>
          <w:color w:val="000000"/>
        </w:rPr>
        <w:t>Greater than 20% CHCC</w:t>
      </w:r>
      <w:r>
        <w:rPr>
          <w:color w:val="000000"/>
        </w:rPr>
        <w:t xml:space="preserve"> </w:t>
      </w:r>
      <w:r>
        <w:rPr>
          <w:b/>
          <w:color w:val="000000"/>
        </w:rPr>
        <w:t>Blends</w:t>
      </w:r>
      <w:r>
        <w:rPr>
          <w:color w:val="000000"/>
        </w:rPr>
        <w:t xml:space="preserve"> shall conform to the following:</w:t>
      </w:r>
    </w:p>
    <w:p w:rsidR="00E14778" w:rsidP="00094D8A" w14:paraId="16CFA46F" w14:textId="77777777">
      <w:pPr>
        <w:ind w:left="1080"/>
        <w:jc w:val="both"/>
      </w:pPr>
    </w:p>
    <w:p w:rsidR="00E14778" w:rsidP="00094D8A" w14:paraId="36E3FEA2" w14:textId="77777777">
      <w:pPr>
        <w:ind w:left="1440" w:hanging="360"/>
        <w:jc w:val="both"/>
      </w:pPr>
      <w:r>
        <w:t>a.</w:t>
      </w:r>
      <w:r>
        <w:tab/>
        <w:t>The virgin aggregate portion of the blend will be tested for Atterberg limits, prior to CHCC blending.</w:t>
      </w:r>
    </w:p>
    <w:p w:rsidR="00E14778" w:rsidP="00094D8A" w14:paraId="63AC4B31" w14:textId="77777777">
      <w:pPr>
        <w:ind w:left="1440" w:hanging="360"/>
        <w:jc w:val="both"/>
      </w:pPr>
    </w:p>
    <w:p w:rsidR="00E14778" w:rsidP="00094D8A" w14:paraId="63CD756F" w14:textId="28720339">
      <w:pPr>
        <w:ind w:left="1440" w:hanging="360"/>
        <w:jc w:val="both"/>
      </w:pPr>
      <w:r>
        <w:t>b.</w:t>
      </w:r>
      <w:r>
        <w:tab/>
        <w:t xml:space="preserve">Price adjustments for Liquid Limit and the Plasticity Index of the virgin aggregates used in the blend with CHCC shall be </w:t>
      </w:r>
      <w:r w:rsidR="00382E44">
        <w:t>according to</w:t>
      </w:r>
      <w:r>
        <w:t xml:space="preserve"> Table II-11</w:t>
      </w:r>
      <w:r>
        <w:rPr>
          <w:color w:val="000000"/>
        </w:rPr>
        <w:t xml:space="preserve"> of the Specifications</w:t>
      </w:r>
      <w:r>
        <w:t>.</w:t>
      </w:r>
    </w:p>
    <w:p w:rsidR="00E14778" w:rsidP="00094D8A" w14:paraId="5C1F0CF9" w14:textId="77777777">
      <w:pPr>
        <w:ind w:left="2160" w:hanging="468"/>
        <w:jc w:val="both"/>
      </w:pPr>
    </w:p>
    <w:p w:rsidR="00E14778" w:rsidP="00094D8A" w14:paraId="2E418AA5" w14:textId="77777777">
      <w:pPr>
        <w:ind w:left="1440" w:hanging="360"/>
        <w:jc w:val="both"/>
      </w:pPr>
      <w:r>
        <w:t>c.</w:t>
      </w:r>
      <w:r>
        <w:tab/>
        <w:t>No additional testing for Liquid Limit or Plasticity Index will be required on the final blended product.</w:t>
      </w:r>
    </w:p>
    <w:p w:rsidR="00E14778" w:rsidP="00094D8A" w14:paraId="23709BC8" w14:textId="77777777">
      <w:pPr>
        <w:ind w:left="1710" w:hanging="378"/>
        <w:jc w:val="both"/>
      </w:pPr>
    </w:p>
    <w:p w:rsidR="00E14778" w:rsidP="00094D8A" w14:paraId="32151835" w14:textId="77777777">
      <w:pPr>
        <w:ind w:left="1080" w:hanging="360"/>
        <w:jc w:val="both"/>
      </w:pPr>
      <w:r>
        <w:t>4.</w:t>
      </w:r>
      <w:r>
        <w:tab/>
        <w:t>All shipments of products containing CHCC must be designated on the shipping ticket (scale ticket) by the use of the letter “R”.  Examples:  [22R, 21AR and 21BR] for: Aggregate Base material, Type I  or Subbase materials.</w:t>
      </w:r>
    </w:p>
    <w:p w:rsidR="00E14778" w:rsidP="00094D8A" w14:paraId="6E4E66D8" w14:textId="77777777">
      <w:pPr>
        <w:ind w:left="108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P Math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1EB2"/>
    <w:rsid w:val="0001549B"/>
    <w:rsid w:val="0001784D"/>
    <w:rsid w:val="00024CFD"/>
    <w:rsid w:val="00026F26"/>
    <w:rsid w:val="00062167"/>
    <w:rsid w:val="00070D74"/>
    <w:rsid w:val="00070F8B"/>
    <w:rsid w:val="00073606"/>
    <w:rsid w:val="00094D8A"/>
    <w:rsid w:val="000A17A9"/>
    <w:rsid w:val="000A67BF"/>
    <w:rsid w:val="000C412B"/>
    <w:rsid w:val="000D4B44"/>
    <w:rsid w:val="000F194F"/>
    <w:rsid w:val="00107AEC"/>
    <w:rsid w:val="00117EF8"/>
    <w:rsid w:val="00130682"/>
    <w:rsid w:val="00173959"/>
    <w:rsid w:val="00195503"/>
    <w:rsid w:val="001A09AC"/>
    <w:rsid w:val="001A305C"/>
    <w:rsid w:val="001B6A3C"/>
    <w:rsid w:val="001C4040"/>
    <w:rsid w:val="001F07DE"/>
    <w:rsid w:val="00200A57"/>
    <w:rsid w:val="00206F85"/>
    <w:rsid w:val="00210CD2"/>
    <w:rsid w:val="002147D7"/>
    <w:rsid w:val="002149BE"/>
    <w:rsid w:val="00221B47"/>
    <w:rsid w:val="0022333F"/>
    <w:rsid w:val="0024426F"/>
    <w:rsid w:val="0025109E"/>
    <w:rsid w:val="00252C2B"/>
    <w:rsid w:val="00293D6E"/>
    <w:rsid w:val="002C0787"/>
    <w:rsid w:val="002D6861"/>
    <w:rsid w:val="002D6B32"/>
    <w:rsid w:val="002D7FF5"/>
    <w:rsid w:val="00302C84"/>
    <w:rsid w:val="00304D52"/>
    <w:rsid w:val="00314D4A"/>
    <w:rsid w:val="00330195"/>
    <w:rsid w:val="003368AB"/>
    <w:rsid w:val="0037082B"/>
    <w:rsid w:val="00382E44"/>
    <w:rsid w:val="00387FFC"/>
    <w:rsid w:val="00393986"/>
    <w:rsid w:val="003A2E47"/>
    <w:rsid w:val="003D09D4"/>
    <w:rsid w:val="003D0DE2"/>
    <w:rsid w:val="003E002E"/>
    <w:rsid w:val="003F286D"/>
    <w:rsid w:val="00407155"/>
    <w:rsid w:val="00413782"/>
    <w:rsid w:val="00432F61"/>
    <w:rsid w:val="004425F3"/>
    <w:rsid w:val="00450017"/>
    <w:rsid w:val="00461FF3"/>
    <w:rsid w:val="00472E9D"/>
    <w:rsid w:val="00477527"/>
    <w:rsid w:val="0048491E"/>
    <w:rsid w:val="004B4B71"/>
    <w:rsid w:val="004B7FD4"/>
    <w:rsid w:val="004C068D"/>
    <w:rsid w:val="004C14A1"/>
    <w:rsid w:val="004F6C7B"/>
    <w:rsid w:val="00510D35"/>
    <w:rsid w:val="005142E7"/>
    <w:rsid w:val="00516FCB"/>
    <w:rsid w:val="00535F9D"/>
    <w:rsid w:val="00546DC5"/>
    <w:rsid w:val="005607BE"/>
    <w:rsid w:val="0057373E"/>
    <w:rsid w:val="00574B46"/>
    <w:rsid w:val="00583A3E"/>
    <w:rsid w:val="00586DC9"/>
    <w:rsid w:val="005A5B11"/>
    <w:rsid w:val="005B2DE5"/>
    <w:rsid w:val="005B7550"/>
    <w:rsid w:val="005C180C"/>
    <w:rsid w:val="005D4900"/>
    <w:rsid w:val="005E7EC1"/>
    <w:rsid w:val="005F0785"/>
    <w:rsid w:val="00627601"/>
    <w:rsid w:val="00635003"/>
    <w:rsid w:val="006543BA"/>
    <w:rsid w:val="00672FFE"/>
    <w:rsid w:val="00676336"/>
    <w:rsid w:val="00681954"/>
    <w:rsid w:val="006825BF"/>
    <w:rsid w:val="00695E7D"/>
    <w:rsid w:val="006A07F3"/>
    <w:rsid w:val="006A2261"/>
    <w:rsid w:val="006A2AFF"/>
    <w:rsid w:val="006A3977"/>
    <w:rsid w:val="006B1BA8"/>
    <w:rsid w:val="006B3094"/>
    <w:rsid w:val="006C3E33"/>
    <w:rsid w:val="006F017C"/>
    <w:rsid w:val="006F17B7"/>
    <w:rsid w:val="006F4259"/>
    <w:rsid w:val="0070749F"/>
    <w:rsid w:val="0071701C"/>
    <w:rsid w:val="00723161"/>
    <w:rsid w:val="0072326D"/>
    <w:rsid w:val="00725454"/>
    <w:rsid w:val="0078729B"/>
    <w:rsid w:val="007A2651"/>
    <w:rsid w:val="007A334E"/>
    <w:rsid w:val="007C3D79"/>
    <w:rsid w:val="007D4C15"/>
    <w:rsid w:val="007E21C1"/>
    <w:rsid w:val="007E4542"/>
    <w:rsid w:val="00823C0A"/>
    <w:rsid w:val="00833443"/>
    <w:rsid w:val="0084757E"/>
    <w:rsid w:val="0085474E"/>
    <w:rsid w:val="00862AD9"/>
    <w:rsid w:val="00866C5C"/>
    <w:rsid w:val="00867F9E"/>
    <w:rsid w:val="00880B39"/>
    <w:rsid w:val="00893421"/>
    <w:rsid w:val="008A0ED4"/>
    <w:rsid w:val="008A523E"/>
    <w:rsid w:val="008B58E5"/>
    <w:rsid w:val="008D2F6B"/>
    <w:rsid w:val="008F5835"/>
    <w:rsid w:val="008F7357"/>
    <w:rsid w:val="009010A5"/>
    <w:rsid w:val="00944D71"/>
    <w:rsid w:val="00944F39"/>
    <w:rsid w:val="009544D8"/>
    <w:rsid w:val="0096455F"/>
    <w:rsid w:val="00965CE6"/>
    <w:rsid w:val="009676B5"/>
    <w:rsid w:val="009779CA"/>
    <w:rsid w:val="009A0612"/>
    <w:rsid w:val="009A5EE3"/>
    <w:rsid w:val="009D24D6"/>
    <w:rsid w:val="009E6AA2"/>
    <w:rsid w:val="009F3964"/>
    <w:rsid w:val="009F4BE0"/>
    <w:rsid w:val="009F6FA4"/>
    <w:rsid w:val="00A00FF3"/>
    <w:rsid w:val="00A0105E"/>
    <w:rsid w:val="00A02BF6"/>
    <w:rsid w:val="00A06350"/>
    <w:rsid w:val="00A1617D"/>
    <w:rsid w:val="00A21ABA"/>
    <w:rsid w:val="00A25381"/>
    <w:rsid w:val="00A31966"/>
    <w:rsid w:val="00A44E0E"/>
    <w:rsid w:val="00A51519"/>
    <w:rsid w:val="00A65374"/>
    <w:rsid w:val="00A66530"/>
    <w:rsid w:val="00A744E6"/>
    <w:rsid w:val="00A842B7"/>
    <w:rsid w:val="00AA49D0"/>
    <w:rsid w:val="00AA5C1E"/>
    <w:rsid w:val="00AB38F9"/>
    <w:rsid w:val="00B03E56"/>
    <w:rsid w:val="00B11F8B"/>
    <w:rsid w:val="00B14617"/>
    <w:rsid w:val="00B26F38"/>
    <w:rsid w:val="00B27C1F"/>
    <w:rsid w:val="00B74E57"/>
    <w:rsid w:val="00B8388C"/>
    <w:rsid w:val="00B9506B"/>
    <w:rsid w:val="00BB2A76"/>
    <w:rsid w:val="00BB3332"/>
    <w:rsid w:val="00BB4600"/>
    <w:rsid w:val="00BC0A28"/>
    <w:rsid w:val="00BC7D8C"/>
    <w:rsid w:val="00BE3329"/>
    <w:rsid w:val="00BE5FFC"/>
    <w:rsid w:val="00C011C3"/>
    <w:rsid w:val="00C01781"/>
    <w:rsid w:val="00C04B38"/>
    <w:rsid w:val="00C05995"/>
    <w:rsid w:val="00C337DB"/>
    <w:rsid w:val="00C46D4D"/>
    <w:rsid w:val="00C56BE2"/>
    <w:rsid w:val="00C6137F"/>
    <w:rsid w:val="00C640E3"/>
    <w:rsid w:val="00C7573B"/>
    <w:rsid w:val="00C927B8"/>
    <w:rsid w:val="00C94C87"/>
    <w:rsid w:val="00CA5396"/>
    <w:rsid w:val="00CC6F97"/>
    <w:rsid w:val="00CE28D8"/>
    <w:rsid w:val="00CF2FD4"/>
    <w:rsid w:val="00D07472"/>
    <w:rsid w:val="00D10646"/>
    <w:rsid w:val="00D17E07"/>
    <w:rsid w:val="00D32D3F"/>
    <w:rsid w:val="00D7425B"/>
    <w:rsid w:val="00D74A4C"/>
    <w:rsid w:val="00D82EF0"/>
    <w:rsid w:val="00D86633"/>
    <w:rsid w:val="00DA60C9"/>
    <w:rsid w:val="00DD28D0"/>
    <w:rsid w:val="00DD55AF"/>
    <w:rsid w:val="00DE3784"/>
    <w:rsid w:val="00E049D1"/>
    <w:rsid w:val="00E1261C"/>
    <w:rsid w:val="00E14778"/>
    <w:rsid w:val="00E34F5C"/>
    <w:rsid w:val="00E40164"/>
    <w:rsid w:val="00E46095"/>
    <w:rsid w:val="00E5080B"/>
    <w:rsid w:val="00E50972"/>
    <w:rsid w:val="00E52DEB"/>
    <w:rsid w:val="00E67DFC"/>
    <w:rsid w:val="00E70AC1"/>
    <w:rsid w:val="00E75AF1"/>
    <w:rsid w:val="00E7733A"/>
    <w:rsid w:val="00E87581"/>
    <w:rsid w:val="00E91EB6"/>
    <w:rsid w:val="00EB28CC"/>
    <w:rsid w:val="00EF42D3"/>
    <w:rsid w:val="00EF4E5C"/>
    <w:rsid w:val="00F02A12"/>
    <w:rsid w:val="00F10C66"/>
    <w:rsid w:val="00F21762"/>
    <w:rsid w:val="00F234D3"/>
    <w:rsid w:val="00F24B9F"/>
    <w:rsid w:val="00F24C0F"/>
    <w:rsid w:val="00F25B15"/>
    <w:rsid w:val="00F42713"/>
    <w:rsid w:val="00F447B1"/>
    <w:rsid w:val="00F54C3E"/>
    <w:rsid w:val="00F67A7B"/>
    <w:rsid w:val="00F72DD3"/>
    <w:rsid w:val="00F74958"/>
    <w:rsid w:val="00F87F35"/>
    <w:rsid w:val="00F92FF8"/>
    <w:rsid w:val="00FA57F8"/>
    <w:rsid w:val="00FC3C35"/>
    <w:rsid w:val="00FC617E"/>
    <w:rsid w:val="00FC76F5"/>
    <w:rsid w:val="00FD748D"/>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DA9277C5-87F2-48E0-9DC2-46206CA3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208-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SP208-000100-00</Specification_x0020_Number>
    <Status xmlns="2328571d-b9d5-471b-8d96-2ccb743ec3d4">Active</Status>
    <Usage_x0020_Guidelines xmlns="2328571d-b9d5-471b-8d96-2ccb743ec3d4">Use when requested by the Designer.</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Division>
    <Section xmlns="2328571d-b9d5-471b-8d96-2ccb743ec3d4">208</Section>
    <LAP_x0020_Pick_x0020_List xmlns="2328571d-b9d5-471b-8d96-2ccb743ec3d4">false</LAP_x0020_Pick_x0020_List>
    <Revision_x0020_Date xmlns="2328571d-b9d5-471b-8d96-2ccb743ec3d4">2016-07-12T04:00:00+00:00</Revision_x0020_Date>
    <ASW_x0020_Guidelines xmlns="2328571d-b9d5-471b-8d96-2ccb743ec3d4">All Districts.
Plant mix schedules only.</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ED0478B6-D3BA-4AEF-B7D1-1931C4DF74C2}">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2</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SECTION 211—ASPHALT CONCRETE 7-12-16</vt:lpstr>
    </vt:vector>
  </TitlesOfParts>
  <Company>VDOT</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208 - SUBBASE AND AGGREGATE BASE MATERIAL [Crushed Hydraulic Cement Concrete (CHCC)]</dc:title>
  <dc:creator>vdot</dc:creator>
  <cp:lastModifiedBy>Gayle, David W. (VDOT)</cp:lastModifiedBy>
  <cp:revision>184</cp:revision>
  <dcterms:created xsi:type="dcterms:W3CDTF">2015-10-15T17:45:00Z</dcterms:created>
  <dcterms:modified xsi:type="dcterms:W3CDTF">2018-04-06T17:52:00Z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https://outsidevdot.cov.virginia.gov/P0JQP/2016_Standard_Specifications/Forms/PLGG.aspx?View={059C9ADD-1EEB-4E46-8248-51123B71B3E6}&amp;FilterField1=ID&amp;FilterValue1=123,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208</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SP208-000100-00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when requested by the Designer.{2007-S208B00}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