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C16259" w:rsidRPr="000F5496" w:rsidP="00C16259" w14:paraId="08D82196" w14:textId="77777777">
      <w:pPr>
        <w:jc w:val="both"/>
        <w:rPr>
          <w:vanish/>
          <w:color w:val="FF0000"/>
          <w:sz w:val="18"/>
          <w:szCs w:val="18"/>
        </w:rPr>
      </w:pPr>
      <w:r w:rsidRPr="00363EA8">
        <w:rPr>
          <w:b/>
          <w:vanish/>
          <w:color w:val="FF0000"/>
          <w:spacing w:val="-3"/>
          <w:sz w:val="18"/>
          <w:szCs w:val="18"/>
        </w:rPr>
        <w:t>GUIDELINES</w:t>
      </w:r>
      <w:r w:rsidRPr="00363EA8">
        <w:rPr>
          <w:b/>
          <w:snapToGrid w:val="0"/>
          <w:vanish/>
          <w:color w:val="FF0000"/>
          <w:spacing w:val="-3"/>
          <w:sz w:val="18"/>
          <w:szCs w:val="18"/>
        </w:rPr>
        <w:t xml:space="preserve"> — </w:t>
      </w:r>
      <w:r w:rsidRPr="000F5496">
        <w:rPr>
          <w:vanish/>
          <w:color w:val="FF0000"/>
          <w:sz w:val="18"/>
          <w:szCs w:val="18"/>
        </w:rPr>
        <w:t xml:space="preserve">For projects that allow existing pavement to be open cut.  Include in the proposal: </w:t>
      </w:r>
      <w:hyperlink w:history="1">
        <w:r w:rsidRPr="000F5496">
          <w:rPr>
            <w:rStyle w:val="Hyperlink"/>
            <w:bCs/>
            <w:vanish/>
            <w:color w:val="FF0000"/>
            <w:sz w:val="18"/>
          </w:rPr>
          <w:t>SP314-000110-00</w:t>
        </w:r>
      </w:hyperlink>
      <w:r w:rsidRPr="000F5496">
        <w:rPr>
          <w:vanish/>
          <w:color w:val="FF0000"/>
          <w:sz w:val="18"/>
          <w:szCs w:val="18"/>
        </w:rPr>
        <w:t xml:space="preserve">or </w:t>
      </w:r>
      <w:hyperlink w:history="1">
        <w:r w:rsidRPr="000F5496">
          <w:rPr>
            <w:rStyle w:val="Hyperlink"/>
            <w:bCs/>
            <w:vanish/>
            <w:color w:val="FF0000"/>
            <w:sz w:val="18"/>
          </w:rPr>
          <w:t>SP314-000100-00</w:t>
        </w:r>
      </w:hyperlink>
      <w:r w:rsidRPr="000F5496">
        <w:rPr>
          <w:vanish/>
          <w:color w:val="FF0000"/>
          <w:sz w:val="18"/>
          <w:szCs w:val="18"/>
        </w:rPr>
        <w:t>.</w:t>
      </w:r>
      <w:r w:rsidRPr="000F5496">
        <w:rPr>
          <w:vanish/>
          <w:color w:val="FF0000"/>
          <w:sz w:val="18"/>
        </w:rPr>
        <w:t xml:space="preserve"> {2007-</w:t>
      </w:r>
      <w:hyperlink w:history="1">
        <w:r w:rsidRPr="000F5496">
          <w:rPr>
            <w:rStyle w:val="Hyperlink"/>
            <w:bCs/>
            <w:vanish/>
            <w:color w:val="FF0000"/>
            <w:sz w:val="18"/>
            <w:szCs w:val="24"/>
          </w:rPr>
          <w:t>S302B00</w:t>
        </w:r>
      </w:hyperlink>
      <w:r w:rsidRPr="000F5496">
        <w:rPr>
          <w:vanish/>
          <w:color w:val="FF0000"/>
          <w:sz w:val="18"/>
        </w:rPr>
        <w:t>}</w:t>
      </w:r>
    </w:p>
    <w:p w:rsidR="00C16259" w:rsidRPr="000F5496" w:rsidP="00C16259" w14:paraId="668D2F03" w14:textId="77777777">
      <w:pPr>
        <w:ind w:left="1620" w:hanging="1620"/>
        <w:jc w:val="both"/>
        <w:rPr>
          <w:vanish/>
          <w:color w:val="FF0000"/>
          <w:sz w:val="18"/>
          <w:szCs w:val="18"/>
        </w:rPr>
      </w:pPr>
    </w:p>
    <w:p w:rsidR="00C16259" w:rsidP="00C16259" w14:paraId="515176C8" w14:textId="77777777">
      <w:pPr>
        <w:rPr>
          <w:rStyle w:val="Hyperlink"/>
          <w:b/>
          <w:bCs/>
        </w:rPr>
      </w:pPr>
      <w:hyperlink r:id="rId8" w:tooltip="RESTORING EXISTING PAVEMENT 7-12-16 Guidelines-For projects that allow existing pavement to be open cut. Include in the proposal: SP314-000110-00 or SP314-000100-00.{2007-S302B00}" w:history="1">
        <w:r w:rsidRPr="004B5519">
          <w:rPr>
            <w:rStyle w:val="Hyperlink"/>
            <w:b/>
            <w:bCs/>
          </w:rPr>
          <w:t>SP302-000100-00</w:t>
        </w:r>
      </w:hyperlink>
    </w:p>
    <w:p w:rsidR="00C16259" w:rsidRPr="004B5519" w:rsidP="00C16259" w14:paraId="3D46B7B0" w14:textId="77777777">
      <w:pPr>
        <w:rPr>
          <w:b/>
        </w:rPr>
      </w:pPr>
    </w:p>
    <w:p w:rsidR="00C16259" w:rsidRPr="00F000BE" w:rsidP="00C16259" w14:paraId="5D01BD64" w14:textId="7777777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C16259" w:rsidRPr="00F000BE" w:rsidP="00C16259" w14:paraId="26CB9918" w14:textId="77777777">
      <w:pPr>
        <w:suppressAutoHyphens/>
        <w:jc w:val="center"/>
      </w:pPr>
      <w:r w:rsidRPr="00F000BE">
        <w:t>SPECIAL PROVISION FOR</w:t>
      </w:r>
    </w:p>
    <w:p w:rsidR="00C16259" w:rsidRPr="00F000BE" w:rsidP="00C16259" w14:paraId="6BBCF98B" w14:textId="77777777">
      <w:pPr>
        <w:jc w:val="center"/>
      </w:pPr>
      <w:r w:rsidRPr="00F000BE">
        <w:rPr>
          <w:b/>
        </w:rPr>
        <w:t>RESTORING EXISTING PAVEMENT</w:t>
      </w:r>
      <w:r>
        <w:rPr>
          <w:b/>
        </w:rPr>
        <w:fldChar w:fldCharType="begin"/>
      </w:r>
      <w:r w:rsidRPr="00F000BE">
        <w:instrText xml:space="preserve"> TC "</w:instrText>
      </w:r>
      <w:bookmarkStart w:id="0" w:name="_Toc6217217"/>
      <w:bookmarkStart w:id="1" w:name="_Toc6289503"/>
      <w:bookmarkStart w:id="2" w:name="_Toc8189447"/>
      <w:bookmarkStart w:id="3" w:name="_Toc447708139"/>
      <w:bookmarkStart w:id="4" w:name="_Toc448144511"/>
      <w:r w:rsidRPr="00F000BE">
        <w:rPr>
          <w:b/>
        </w:rPr>
        <w:instrText>SP302-000100-00</w:instrText>
      </w:r>
      <w:r w:rsidRPr="00F000BE">
        <w:rPr>
          <w:spacing w:val="-3"/>
        </w:rPr>
        <w:instrText>   </w:instrText>
      </w:r>
      <w:r w:rsidRPr="00F000BE">
        <w:rPr>
          <w:b/>
        </w:rPr>
        <w:instrText>RESTORING EXISTING PAVEMENT</w:instrText>
      </w:r>
      <w:r w:rsidRPr="00F000BE">
        <w:instrText xml:space="preserve">  </w:instrText>
      </w:r>
      <w:bookmarkEnd w:id="0"/>
      <w:bookmarkEnd w:id="1"/>
      <w:bookmarkEnd w:id="2"/>
      <w:r>
        <w:rPr>
          <w:bCs/>
        </w:rPr>
        <w:instrText>7</w:instrText>
      </w:r>
      <w:r w:rsidRPr="00F000BE">
        <w:rPr>
          <w:bCs/>
        </w:rPr>
        <w:instrText>-1</w:instrText>
      </w:r>
      <w:r>
        <w:rPr>
          <w:bCs/>
        </w:rPr>
        <w:instrText>2</w:instrText>
      </w:r>
      <w:r w:rsidRPr="00F000BE">
        <w:rPr>
          <w:bCs/>
        </w:rPr>
        <w:instrText>-</w:instrText>
      </w:r>
      <w:bookmarkEnd w:id="3"/>
      <w:bookmarkEnd w:id="4"/>
      <w:r>
        <w:rPr>
          <w:bCs/>
        </w:rPr>
        <w:instrText>16</w:instrText>
      </w:r>
      <w:r w:rsidRPr="00F000BE">
        <w:instrText xml:space="preserve">" \f C \l "1" </w:instrText>
      </w:r>
      <w:r>
        <w:rPr>
          <w:b/>
        </w:rPr>
        <w:fldChar w:fldCharType="end"/>
      </w:r>
    </w:p>
    <w:p w:rsidR="00C16259" w:rsidRPr="00F000BE" w:rsidP="00C16259" w14:paraId="4BBE42CE" w14:textId="77777777">
      <w:pPr>
        <w:suppressAutoHyphens/>
      </w:pPr>
    </w:p>
    <w:p w:rsidR="00C16259" w:rsidRPr="00F000BE" w:rsidP="00C16259" w14:paraId="5D15B5AC" w14:textId="77777777">
      <w:pPr>
        <w:suppressAutoHyphens/>
        <w:jc w:val="right"/>
      </w:pPr>
      <w:r w:rsidRPr="00F000BE">
        <w:t>J</w:t>
      </w:r>
      <w:r>
        <w:t>uly</w:t>
      </w:r>
      <w:r w:rsidRPr="00F000BE">
        <w:t xml:space="preserve"> 1</w:t>
      </w:r>
      <w:r>
        <w:t>2</w:t>
      </w:r>
      <w:r w:rsidRPr="00F000BE">
        <w:t>, 20</w:t>
      </w:r>
      <w:r>
        <w:t>16</w:t>
      </w:r>
    </w:p>
    <w:p w:rsidR="00C16259" w:rsidRPr="00F000BE" w:rsidP="00C16259" w14:paraId="24E76359" w14:textId="77777777">
      <w:pPr>
        <w:suppressAutoHyphens/>
        <w:jc w:val="both"/>
        <w:rPr>
          <w:b/>
        </w:rPr>
      </w:pPr>
    </w:p>
    <w:p w:rsidR="00C16259" w:rsidRPr="00F000BE" w:rsidP="00C16259" w14:paraId="5BDB1B55" w14:textId="77777777">
      <w:pPr>
        <w:suppressAutoHyphens/>
        <w:ind w:left="720" w:hanging="720"/>
        <w:jc w:val="both"/>
        <w:rPr>
          <w:b/>
        </w:rPr>
      </w:pPr>
      <w:r w:rsidRPr="00F000BE">
        <w:rPr>
          <w:b/>
        </w:rPr>
        <w:t>I.</w:t>
      </w:r>
      <w:r w:rsidRPr="00F000BE">
        <w:rPr>
          <w:b/>
        </w:rPr>
        <w:tab/>
        <w:t>DESCRIPTION</w:t>
      </w:r>
    </w:p>
    <w:p w:rsidR="00C16259" w:rsidRPr="00F000BE" w:rsidP="00C16259" w14:paraId="7FB46916" w14:textId="77777777">
      <w:pPr>
        <w:suppressAutoHyphens/>
        <w:ind w:left="720"/>
        <w:jc w:val="both"/>
        <w:rPr>
          <w:b/>
        </w:rPr>
      </w:pPr>
    </w:p>
    <w:p w:rsidR="00C16259" w:rsidRPr="00F000BE" w:rsidP="00C16259" w14:paraId="47306FB2" w14:textId="77777777">
      <w:pPr>
        <w:suppressAutoHyphens/>
        <w:ind w:left="720"/>
        <w:jc w:val="both"/>
      </w:pPr>
      <w:r w:rsidRPr="00F000BE">
        <w:t>This work shall consist of restoring existing pavement, removed for installation or repair of utilities such as, but not limited to pipe culverts, conduits, water and sanitary sewer items.</w:t>
      </w:r>
    </w:p>
    <w:p w:rsidR="00C16259" w:rsidRPr="00F000BE" w:rsidP="00C16259" w14:paraId="2839DF80" w14:textId="77777777">
      <w:pPr>
        <w:suppressAutoHyphens/>
        <w:ind w:left="720"/>
        <w:jc w:val="both"/>
      </w:pPr>
    </w:p>
    <w:p w:rsidR="00C16259" w:rsidRPr="00F000BE" w:rsidP="00C16259" w14:paraId="4F3FF130" w14:textId="77777777">
      <w:pPr>
        <w:suppressAutoHyphens/>
        <w:ind w:left="720" w:hanging="720"/>
        <w:jc w:val="both"/>
        <w:rPr>
          <w:b/>
        </w:rPr>
      </w:pPr>
      <w:r w:rsidRPr="00F000BE">
        <w:rPr>
          <w:b/>
        </w:rPr>
        <w:t>II.</w:t>
      </w:r>
      <w:r w:rsidRPr="00F000BE">
        <w:rPr>
          <w:b/>
        </w:rPr>
        <w:tab/>
        <w:t>MATERIALS</w:t>
      </w:r>
    </w:p>
    <w:p w:rsidR="00C16259" w:rsidRPr="00F000BE" w:rsidP="00C16259" w14:paraId="6314A769" w14:textId="77777777">
      <w:pPr>
        <w:suppressAutoHyphens/>
        <w:ind w:left="720"/>
        <w:jc w:val="both"/>
        <w:rPr>
          <w:b/>
        </w:rPr>
      </w:pPr>
    </w:p>
    <w:p w:rsidR="00C16259" w:rsidRPr="00F000BE" w:rsidP="00C16259" w14:paraId="2A675358" w14:textId="77777777">
      <w:pPr>
        <w:suppressAutoHyphens/>
        <w:ind w:left="720"/>
        <w:jc w:val="both"/>
      </w:pPr>
      <w:r w:rsidRPr="00F000BE">
        <w:t>Asphalt Concrete shall conform to Section 211 of the Specifications.</w:t>
      </w:r>
    </w:p>
    <w:p w:rsidR="00C16259" w:rsidRPr="00F000BE" w:rsidP="00C16259" w14:paraId="58F51588" w14:textId="77777777">
      <w:pPr>
        <w:suppressAutoHyphens/>
        <w:ind w:left="720"/>
        <w:jc w:val="both"/>
      </w:pPr>
    </w:p>
    <w:p w:rsidR="00C16259" w:rsidRPr="00F000BE" w:rsidP="00C16259" w14:paraId="4D47F5F2" w14:textId="77777777">
      <w:pPr>
        <w:suppressAutoHyphens/>
        <w:ind w:left="720"/>
        <w:jc w:val="both"/>
      </w:pPr>
      <w:r w:rsidRPr="00F000BE">
        <w:t>Aggregate Subbase material shall conform to Section 208 of the Specifications.</w:t>
      </w:r>
    </w:p>
    <w:p w:rsidR="00C16259" w:rsidRPr="00F000BE" w:rsidP="00C16259" w14:paraId="5CB32233" w14:textId="77777777">
      <w:pPr>
        <w:suppressAutoHyphens/>
        <w:ind w:left="720"/>
        <w:jc w:val="both"/>
      </w:pPr>
    </w:p>
    <w:p w:rsidR="00C16259" w:rsidRPr="00F000BE" w:rsidP="00C16259" w14:paraId="5F33DDD6" w14:textId="77777777">
      <w:pPr>
        <w:suppressAutoHyphens/>
        <w:ind w:left="720"/>
        <w:jc w:val="both"/>
      </w:pPr>
      <w:r w:rsidRPr="00F000BE">
        <w:t>Asphalt Material shall conform to Section 210 of the Specifications.</w:t>
      </w:r>
    </w:p>
    <w:p w:rsidR="00C16259" w:rsidRPr="00F000BE" w:rsidP="00C16259" w14:paraId="63D23661" w14:textId="77777777">
      <w:pPr>
        <w:suppressAutoHyphens/>
        <w:ind w:left="720"/>
        <w:jc w:val="both"/>
      </w:pPr>
    </w:p>
    <w:p w:rsidR="00C16259" w:rsidRPr="00F000BE" w:rsidP="00C16259" w14:paraId="127D06B3" w14:textId="77777777">
      <w:pPr>
        <w:suppressAutoHyphens/>
        <w:ind w:left="720"/>
        <w:jc w:val="both"/>
      </w:pPr>
      <w:r w:rsidRPr="00F000BE">
        <w:t>Fine Aggregate shall conform to Section 202 of the Specifications.</w:t>
      </w:r>
    </w:p>
    <w:p w:rsidR="00C16259" w:rsidRPr="00F000BE" w:rsidP="00C16259" w14:paraId="6176C43C" w14:textId="77777777">
      <w:pPr>
        <w:suppressAutoHyphens/>
        <w:ind w:left="720"/>
        <w:jc w:val="both"/>
      </w:pPr>
    </w:p>
    <w:p w:rsidR="00C16259" w:rsidRPr="00F000BE" w:rsidP="00C16259" w14:paraId="24532F61" w14:textId="77777777">
      <w:pPr>
        <w:suppressAutoHyphens/>
        <w:ind w:left="720"/>
        <w:jc w:val="both"/>
      </w:pPr>
      <w:r w:rsidRPr="00F000BE">
        <w:t>Coarse Aggregate for surface treatment shall conform to Section 203 of the Specifications.</w:t>
      </w:r>
    </w:p>
    <w:p w:rsidR="00C16259" w:rsidRPr="00F000BE" w:rsidP="00C16259" w14:paraId="264D6033" w14:textId="77777777">
      <w:pPr>
        <w:suppressAutoHyphens/>
        <w:ind w:left="720"/>
        <w:jc w:val="both"/>
      </w:pPr>
    </w:p>
    <w:p w:rsidR="00C16259" w:rsidRPr="00F000BE" w:rsidP="00C16259" w14:paraId="017054B4" w14:textId="77777777">
      <w:pPr>
        <w:suppressAutoHyphens/>
        <w:ind w:left="720"/>
        <w:jc w:val="both"/>
      </w:pPr>
      <w:r w:rsidRPr="00F000BE">
        <w:t>Hydraulic Cement Concrete Class A3 shall conform to Section 217 of the Specifications.</w:t>
      </w:r>
    </w:p>
    <w:p w:rsidR="00C16259" w:rsidRPr="00F000BE" w:rsidP="00C16259" w14:paraId="4D6E3E81" w14:textId="77777777">
      <w:pPr>
        <w:suppressAutoHyphens/>
        <w:ind w:left="720"/>
        <w:jc w:val="both"/>
      </w:pPr>
    </w:p>
    <w:p w:rsidR="00C16259" w:rsidRPr="00F000BE" w:rsidP="00C16259" w14:paraId="1960AEC9" w14:textId="77777777">
      <w:pPr>
        <w:suppressAutoHyphens/>
        <w:ind w:left="720"/>
        <w:jc w:val="both"/>
      </w:pPr>
      <w:r w:rsidRPr="00F000BE">
        <w:t>Steel Reinforcement shall conform to Section 223 of the Specifications.</w:t>
      </w:r>
    </w:p>
    <w:p w:rsidR="00C16259" w:rsidRPr="00F000BE" w:rsidP="00C16259" w14:paraId="2D1E24BF" w14:textId="77777777">
      <w:pPr>
        <w:suppressAutoHyphens/>
        <w:ind w:left="720"/>
        <w:jc w:val="both"/>
      </w:pPr>
    </w:p>
    <w:p w:rsidR="00C16259" w:rsidRPr="00F000BE" w:rsidP="00C16259" w14:paraId="7874710D" w14:textId="77777777">
      <w:pPr>
        <w:suppressAutoHyphens/>
        <w:ind w:left="720" w:hanging="720"/>
        <w:jc w:val="both"/>
        <w:rPr>
          <w:b/>
        </w:rPr>
      </w:pPr>
      <w:r w:rsidRPr="00F000BE">
        <w:rPr>
          <w:b/>
        </w:rPr>
        <w:t>III.</w:t>
      </w:r>
      <w:r w:rsidRPr="00F000BE">
        <w:rPr>
          <w:b/>
        </w:rPr>
        <w:tab/>
        <w:t>PROCEDURES</w:t>
      </w:r>
    </w:p>
    <w:p w:rsidR="00C16259" w:rsidRPr="00F000BE" w:rsidP="00C16259" w14:paraId="2621EC5F" w14:textId="77777777">
      <w:pPr>
        <w:suppressAutoHyphens/>
        <w:ind w:left="720"/>
        <w:jc w:val="both"/>
        <w:rPr>
          <w:b/>
        </w:rPr>
      </w:pPr>
    </w:p>
    <w:p w:rsidR="00C16259" w:rsidRPr="00F000BE" w:rsidP="00C16259" w14:paraId="7E75BAAB" w14:textId="77777777">
      <w:pPr>
        <w:suppressAutoHyphens/>
        <w:ind w:left="720"/>
        <w:jc w:val="both"/>
      </w:pPr>
      <w:r w:rsidRPr="00F000BE">
        <w:t xml:space="preserve">Pavement restoration shall be </w:t>
      </w:r>
      <w:r>
        <w:t>according to</w:t>
      </w:r>
      <w:r w:rsidRPr="00F000BE">
        <w:t xml:space="preserve"> this Provision and plan notes.</w:t>
      </w:r>
    </w:p>
    <w:p w:rsidR="00C16259" w:rsidRPr="00F000BE" w:rsidP="00C16259" w14:paraId="0587413D" w14:textId="77777777">
      <w:pPr>
        <w:suppressAutoHyphens/>
        <w:ind w:left="720"/>
        <w:jc w:val="both"/>
      </w:pPr>
    </w:p>
    <w:p w:rsidR="00C16259" w:rsidRPr="00F000BE" w:rsidP="00C16259" w14:paraId="30DE723D" w14:textId="77777777">
      <w:pPr>
        <w:suppressAutoHyphens/>
        <w:ind w:left="720"/>
        <w:jc w:val="both"/>
      </w:pPr>
      <w:r w:rsidRPr="00F000BE">
        <w:t xml:space="preserve">Backfill shall be </w:t>
      </w:r>
      <w:r>
        <w:t>according to</w:t>
      </w:r>
      <w:r w:rsidRPr="00F000BE">
        <w:t xml:space="preserve"> Section 302.03(a)2.g. of the Specifications.</w:t>
      </w:r>
    </w:p>
    <w:p w:rsidR="00C16259" w:rsidRPr="00F000BE" w:rsidP="00C16259" w14:paraId="60D16706" w14:textId="77777777">
      <w:pPr>
        <w:suppressAutoHyphens/>
        <w:ind w:left="720"/>
        <w:jc w:val="both"/>
      </w:pPr>
    </w:p>
    <w:p w:rsidR="00C16259" w:rsidRPr="00F000BE" w:rsidP="00C16259" w14:paraId="5C6A3B5A" w14:textId="77777777">
      <w:pPr>
        <w:suppressAutoHyphens/>
        <w:ind w:left="720"/>
        <w:jc w:val="both"/>
      </w:pPr>
      <w:r w:rsidRPr="00F000BE">
        <w:t xml:space="preserve">Asphalt Concrete shall be placed and compacted </w:t>
      </w:r>
      <w:r>
        <w:t>according to</w:t>
      </w:r>
      <w:r w:rsidRPr="00F000BE">
        <w:t xml:space="preserve"> Section 315 of the Specifications.</w:t>
      </w:r>
    </w:p>
    <w:p w:rsidR="00C16259" w:rsidRPr="00F000BE" w:rsidP="00C16259" w14:paraId="7273D44B" w14:textId="77777777">
      <w:pPr>
        <w:suppressAutoHyphens/>
        <w:ind w:left="720"/>
        <w:jc w:val="both"/>
      </w:pPr>
    </w:p>
    <w:p w:rsidR="00C16259" w:rsidRPr="00F000BE" w:rsidP="00C16259" w14:paraId="60A430F6" w14:textId="77777777">
      <w:pPr>
        <w:suppressAutoHyphens/>
        <w:ind w:left="720"/>
        <w:jc w:val="both"/>
      </w:pPr>
      <w:r w:rsidRPr="00F000BE">
        <w:t xml:space="preserve">Surface Treatment shall be placed </w:t>
      </w:r>
      <w:r>
        <w:t>according to</w:t>
      </w:r>
      <w:r w:rsidRPr="00F000BE">
        <w:t xml:space="preserve"> the</w:t>
      </w:r>
      <w:r>
        <w:t xml:space="preserve"> special provision for</w:t>
      </w:r>
      <w:r w:rsidRPr="00F000BE">
        <w:t xml:space="preserve"> Asphalt Surface Treatment and the attached drawing.</w:t>
      </w:r>
    </w:p>
    <w:p w:rsidR="00C16259" w:rsidRPr="00F000BE" w:rsidP="00C16259" w14:paraId="15F746FB" w14:textId="77777777">
      <w:pPr>
        <w:suppressAutoHyphens/>
        <w:ind w:left="720"/>
        <w:jc w:val="both"/>
      </w:pPr>
    </w:p>
    <w:p w:rsidR="00C16259" w:rsidRPr="00F000BE" w:rsidP="00C16259" w14:paraId="4A6AB717" w14:textId="77777777">
      <w:pPr>
        <w:suppressAutoHyphens/>
        <w:ind w:left="720"/>
        <w:jc w:val="both"/>
      </w:pPr>
      <w:r w:rsidRPr="00F000BE">
        <w:t xml:space="preserve">Concrete Pavement shall be placed </w:t>
      </w:r>
      <w:r>
        <w:t>according to</w:t>
      </w:r>
      <w:r w:rsidRPr="006B7FCB">
        <w:t xml:space="preserve"> </w:t>
      </w:r>
      <w:r w:rsidRPr="00F000BE">
        <w:t>the</w:t>
      </w:r>
      <w:r>
        <w:t xml:space="preserve"> special provision for</w:t>
      </w:r>
      <w:r w:rsidRPr="00F000BE">
        <w:t xml:space="preserve"> </w:t>
      </w:r>
      <w:r w:rsidRPr="006B7FCB">
        <w:t>Patching Hydraulic Cement Concrete Pavement</w:t>
      </w:r>
      <w:r w:rsidRPr="00F000BE">
        <w:t xml:space="preserve"> and this special provision.  Open trench in Hydraulic Cement Concrete Pavement should be located at existing transverse joints if at all possible.  If concrete pavement is removed within two feet of an existing transverse joint, pavement removal shall be extended two feet beyond the joint.  Reinforcing steel and dowels shall be installed </w:t>
      </w:r>
      <w:r>
        <w:t>according to</w:t>
      </w:r>
      <w:r w:rsidRPr="00F000BE">
        <w:t xml:space="preserve"> Road and Bridge Standard PR-2.  Joint replacement shall be </w:t>
      </w:r>
      <w:r>
        <w:t>according to</w:t>
      </w:r>
      <w:r w:rsidRPr="00F000BE">
        <w:t xml:space="preserve"> Road and Bridge Standard PR-2.</w:t>
      </w:r>
    </w:p>
    <w:p w:rsidR="00C16259" w:rsidRPr="00F000BE" w:rsidP="00C16259" w14:paraId="7AFED820" w14:textId="77777777">
      <w:pPr>
        <w:suppressAutoHyphens/>
        <w:ind w:left="720"/>
        <w:jc w:val="both"/>
      </w:pPr>
    </w:p>
    <w:p w:rsidR="00C16259" w:rsidRPr="00F000BE" w:rsidP="00C16259" w14:paraId="1DB63D9C" w14:textId="77777777">
      <w:pPr>
        <w:suppressAutoHyphens/>
        <w:ind w:left="720" w:hanging="720"/>
        <w:jc w:val="both"/>
        <w:rPr>
          <w:b/>
        </w:rPr>
      </w:pPr>
      <w:r w:rsidRPr="00F000BE">
        <w:rPr>
          <w:b/>
        </w:rPr>
        <w:t>IV.</w:t>
      </w:r>
      <w:r w:rsidRPr="00F000BE">
        <w:rPr>
          <w:b/>
        </w:rPr>
        <w:tab/>
        <w:t>MEASUREMENT AND PAYMENT</w:t>
      </w:r>
    </w:p>
    <w:p w:rsidR="00C16259" w:rsidRPr="00F000BE" w:rsidP="00C16259" w14:paraId="7366586B" w14:textId="77777777">
      <w:pPr>
        <w:suppressAutoHyphens/>
        <w:ind w:left="720"/>
        <w:jc w:val="both"/>
        <w:rPr>
          <w:b/>
        </w:rPr>
      </w:pPr>
    </w:p>
    <w:p w:rsidR="00C16259" w:rsidRPr="00F000BE" w:rsidP="00C16259" w14:paraId="385AFD67" w14:textId="77777777">
      <w:pPr>
        <w:ind w:left="720"/>
        <w:jc w:val="both"/>
      </w:pPr>
      <w:r w:rsidRPr="00F000BE">
        <w:t xml:space="preserve">Restoring Existing Pavement unless otherwise specified will not be measured for separate payment, the cost thereof shall be included in the price bid for the utility to which it pertains </w:t>
      </w:r>
      <w:r>
        <w:t>according to</w:t>
      </w:r>
      <w:r w:rsidRPr="00F000BE">
        <w:t xml:space="preserve"> Section 302.04, Section 520.06 or Section 700.05 of the Specifications, as appropriate.  However, widths and depths in excess of the attached drawing that are authorized or directed by the Engineer will be paid for </w:t>
      </w:r>
      <w:r>
        <w:t>according to</w:t>
      </w:r>
      <w:r w:rsidRPr="00F000BE">
        <w:t xml:space="preserve"> Section 109.05 of the Specifications.</w:t>
      </w:r>
    </w:p>
    <w:p w:rsidR="00C16259" w:rsidRPr="00F000BE" w:rsidP="00C16259" w14:paraId="15B82E10" w14:textId="77777777">
      <w:pPr>
        <w:ind w:left="720"/>
        <w:jc w:val="both"/>
      </w:pPr>
    </w:p>
    <w:tbl>
      <w:tblPr>
        <w:tblW w:w="0" w:type="auto"/>
        <w:jc w:val="center"/>
        <w:tblLayout w:type="fixed"/>
        <w:tblLook w:val="0000"/>
      </w:tblPr>
      <w:tblGrid>
        <w:gridCol w:w="4590"/>
        <w:gridCol w:w="360"/>
        <w:gridCol w:w="4518"/>
      </w:tblGrid>
      <w:tr w14:paraId="75BE3B88" w14:textId="77777777" w:rsidTr="00E770C0">
        <w:tblPrEx>
          <w:tblW w:w="0" w:type="auto"/>
          <w:jc w:val="center"/>
          <w:tblLayout w:type="fixed"/>
          <w:tblLook w:val="0000"/>
        </w:tblPrEx>
        <w:trPr>
          <w:cantSplit/>
          <w:trHeight w:val="7344"/>
          <w:jc w:val="center"/>
        </w:trPr>
        <w:tc>
          <w:tcPr>
            <w:tcW w:w="9468" w:type="dxa"/>
            <w:gridSpan w:val="3"/>
          </w:tcPr>
          <w:p w:rsidR="00C16259" w:rsidRPr="00F000BE" w:rsidP="00E770C0" w14:paraId="55CBE6E4" w14:textId="77777777">
            <w:pPr>
              <w:ind w:left="450" w:hanging="450"/>
            </w:pPr>
            <w:r w:rsidRPr="00F000BE">
              <w:rPr>
                <w:noProof/>
              </w:rPr>
              <w:drawing>
                <wp:inline distT="0" distB="0" distL="0" distR="0">
                  <wp:extent cx="5867400" cy="47752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5867400" cy="4775200"/>
                          </a:xfrm>
                          <a:prstGeom prst="rect">
                            <a:avLst/>
                          </a:prstGeom>
                          <a:noFill/>
                          <a:ln>
                            <a:noFill/>
                          </a:ln>
                        </pic:spPr>
                      </pic:pic>
                    </a:graphicData>
                  </a:graphic>
                </wp:inline>
              </w:drawing>
            </w:r>
          </w:p>
          <w:p w:rsidR="00C16259" w:rsidRPr="00F000BE" w:rsidP="00E770C0" w14:paraId="0A6592D2" w14:textId="77777777">
            <w:pPr>
              <w:ind w:left="450" w:hanging="450"/>
            </w:pPr>
          </w:p>
        </w:tc>
      </w:tr>
      <w:tr w14:paraId="01159A51" w14:textId="77777777" w:rsidTr="00E770C0">
        <w:tblPrEx>
          <w:tblW w:w="0" w:type="auto"/>
          <w:jc w:val="center"/>
          <w:tblLayout w:type="fixed"/>
          <w:tblLook w:val="0000"/>
        </w:tblPrEx>
        <w:trPr>
          <w:cantSplit/>
          <w:trHeight w:val="2061"/>
          <w:jc w:val="center"/>
        </w:trPr>
        <w:tc>
          <w:tcPr>
            <w:tcW w:w="4590" w:type="dxa"/>
          </w:tcPr>
          <w:p w:rsidR="00C16259" w:rsidRPr="00F000BE" w:rsidP="00E770C0" w14:paraId="1DFEC7EB" w14:textId="77777777">
            <w:pPr>
              <w:rPr>
                <w:rFonts w:cs="Arial"/>
                <w:sz w:val="18"/>
                <w:szCs w:val="18"/>
              </w:rPr>
            </w:pPr>
            <w:r w:rsidRPr="00F000BE">
              <w:rPr>
                <w:rFonts w:cs="Arial"/>
                <w:sz w:val="18"/>
                <w:szCs w:val="18"/>
              </w:rPr>
              <w:t>NOTES:</w:t>
            </w:r>
          </w:p>
          <w:p w:rsidR="00C16259" w:rsidRPr="00F000BE" w:rsidP="00E770C0" w14:paraId="5248516B" w14:textId="77777777">
            <w:pPr>
              <w:rPr>
                <w:rFonts w:cs="Arial"/>
                <w:sz w:val="18"/>
                <w:szCs w:val="18"/>
              </w:rPr>
            </w:pPr>
          </w:p>
          <w:p w:rsidR="00C16259" w:rsidRPr="00F000BE" w:rsidP="00E770C0" w14:paraId="3B6867EA" w14:textId="77777777">
            <w:pPr>
              <w:rPr>
                <w:rFonts w:cs="Arial"/>
                <w:sz w:val="18"/>
                <w:szCs w:val="18"/>
              </w:rPr>
            </w:pPr>
            <w:r w:rsidRPr="00F000BE">
              <w:rPr>
                <w:rFonts w:cs="Arial"/>
                <w:sz w:val="18"/>
                <w:szCs w:val="18"/>
              </w:rPr>
              <w:t>The following methods for restoring existing pavement shall be adhered to unless otherwise specified on the plans.</w:t>
            </w:r>
          </w:p>
          <w:p w:rsidR="00C16259" w:rsidRPr="00F000BE" w:rsidP="00E770C0" w14:paraId="2F674105" w14:textId="77777777">
            <w:pPr>
              <w:rPr>
                <w:rFonts w:cs="Arial"/>
                <w:sz w:val="18"/>
                <w:szCs w:val="18"/>
              </w:rPr>
            </w:pPr>
          </w:p>
          <w:p w:rsidR="00C16259" w:rsidRPr="00F000BE" w:rsidP="00E770C0" w14:paraId="27361B75" w14:textId="77777777">
            <w:pPr>
              <w:ind w:left="360" w:hanging="360"/>
              <w:rPr>
                <w:rFonts w:cs="Arial"/>
                <w:sz w:val="18"/>
                <w:szCs w:val="18"/>
              </w:rPr>
            </w:pPr>
            <w:r w:rsidRPr="00F000BE">
              <w:rPr>
                <w:rFonts w:cs="Arial"/>
                <w:sz w:val="18"/>
                <w:szCs w:val="18"/>
              </w:rPr>
              <w:t>1.</w:t>
            </w:r>
            <w:r w:rsidRPr="00F000BE">
              <w:rPr>
                <w:rFonts w:cs="Arial"/>
                <w:sz w:val="18"/>
                <w:szCs w:val="18"/>
              </w:rPr>
              <w:tab/>
              <w:t xml:space="preserve">Pipe culverts, conduits and utility items shall be installed </w:t>
            </w:r>
            <w:r>
              <w:rPr>
                <w:rFonts w:cs="Arial"/>
                <w:sz w:val="18"/>
                <w:szCs w:val="18"/>
              </w:rPr>
              <w:t>according to</w:t>
            </w:r>
            <w:r w:rsidRPr="00F000BE">
              <w:rPr>
                <w:rFonts w:cs="Arial"/>
                <w:sz w:val="18"/>
                <w:szCs w:val="18"/>
              </w:rPr>
              <w:t xml:space="preserve"> the applicable Road and Bridge Standards and Specifications.</w:t>
            </w:r>
          </w:p>
          <w:p w:rsidR="00C16259" w:rsidRPr="00F000BE" w:rsidP="00E770C0" w14:paraId="61C82BA6" w14:textId="77777777">
            <w:pPr>
              <w:ind w:left="360" w:hanging="360"/>
              <w:rPr>
                <w:rFonts w:cs="Arial"/>
                <w:sz w:val="18"/>
                <w:szCs w:val="18"/>
              </w:rPr>
            </w:pPr>
          </w:p>
          <w:p w:rsidR="00C16259" w:rsidRPr="00F000BE" w:rsidP="00E770C0" w14:paraId="573F5878" w14:textId="77777777">
            <w:pPr>
              <w:ind w:left="360" w:hanging="360"/>
              <w:rPr>
                <w:rFonts w:cs="Arial"/>
                <w:sz w:val="18"/>
                <w:szCs w:val="18"/>
              </w:rPr>
            </w:pPr>
            <w:r w:rsidRPr="00F000BE">
              <w:rPr>
                <w:rFonts w:cs="Arial"/>
                <w:sz w:val="18"/>
                <w:szCs w:val="18"/>
              </w:rPr>
              <w:t>2.</w:t>
            </w:r>
            <w:r w:rsidRPr="00F000BE">
              <w:rPr>
                <w:rFonts w:cs="Arial"/>
                <w:sz w:val="18"/>
                <w:szCs w:val="18"/>
              </w:rPr>
              <w:tab/>
              <w:t>Subbase - Aggregate material Type 1, Size 21A or 21B.</w:t>
            </w:r>
          </w:p>
          <w:p w:rsidR="00C16259" w:rsidRPr="00F000BE" w:rsidP="00E770C0" w14:paraId="3431D347" w14:textId="77777777">
            <w:pPr>
              <w:ind w:left="360" w:hanging="360"/>
              <w:rPr>
                <w:rFonts w:cs="Arial"/>
                <w:sz w:val="18"/>
                <w:szCs w:val="18"/>
              </w:rPr>
            </w:pPr>
          </w:p>
          <w:p w:rsidR="00C16259" w:rsidRPr="00F000BE" w:rsidP="00E770C0" w14:paraId="768322E8" w14:textId="77777777">
            <w:pPr>
              <w:ind w:left="360" w:hanging="360"/>
              <w:rPr>
                <w:rFonts w:cs="Arial"/>
                <w:sz w:val="18"/>
                <w:szCs w:val="18"/>
              </w:rPr>
            </w:pPr>
            <w:r w:rsidRPr="00F000BE">
              <w:rPr>
                <w:rFonts w:cs="Arial"/>
                <w:sz w:val="18"/>
                <w:szCs w:val="18"/>
              </w:rPr>
              <w:t>3.</w:t>
            </w:r>
            <w:r w:rsidRPr="00F000BE">
              <w:rPr>
                <w:rFonts w:cs="Arial"/>
                <w:sz w:val="18"/>
                <w:szCs w:val="18"/>
              </w:rPr>
              <w:tab/>
              <w:t>Asphalt Concrete Type BM-25.0</w:t>
            </w:r>
          </w:p>
          <w:p w:rsidR="00C16259" w:rsidRPr="00F000BE" w:rsidP="00E770C0" w14:paraId="1FDF0F80" w14:textId="77777777">
            <w:pPr>
              <w:ind w:left="360" w:hanging="360"/>
              <w:rPr>
                <w:rFonts w:cs="Arial"/>
                <w:sz w:val="18"/>
                <w:szCs w:val="18"/>
              </w:rPr>
            </w:pPr>
          </w:p>
          <w:p w:rsidR="00C16259" w:rsidRPr="00F000BE" w:rsidP="00E770C0" w14:paraId="4B6266A9" w14:textId="77777777">
            <w:pPr>
              <w:ind w:left="450" w:hanging="450"/>
              <w:rPr>
                <w:sz w:val="18"/>
                <w:szCs w:val="18"/>
              </w:rPr>
            </w:pPr>
            <w:r w:rsidRPr="00F000BE">
              <w:rPr>
                <w:noProof/>
                <w:sz w:val="18"/>
                <w:szCs w:val="18"/>
              </w:rPr>
              <mc:AlternateContent>
                <mc:Choice Requires="wps">
                  <w:drawing>
                    <wp:anchor distT="0" distB="0" distL="114300" distR="114300" simplePos="0" relativeHeight="251658240" behindDoc="0" locked="0" layoutInCell="0" allowOverlap="1">
                      <wp:simplePos x="0" y="0"/>
                      <wp:positionH relativeFrom="column">
                        <wp:posOffset>5486400</wp:posOffset>
                      </wp:positionH>
                      <wp:positionV relativeFrom="paragraph">
                        <wp:posOffset>-7498080</wp:posOffset>
                      </wp:positionV>
                      <wp:extent cx="366395" cy="366395"/>
                      <wp:effectExtent l="0" t="0" r="0" b="0"/>
                      <wp:wrapNone/>
                      <wp:docPr id="3" name="Rectangle 114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66395" cy="366395"/>
                              </a:xfrm>
                              <a:prstGeom prst="rect">
                                <a:avLst/>
                              </a:prstGeom>
                              <a:noFill/>
                              <a:ln w="9525">
                                <a:solidFill>
                                  <a:srgbClr val="FFFFFF"/>
                                </a:solidFill>
                                <a:miter lim="800000"/>
                                <a:headEnd/>
                                <a:tailEnd/>
                              </a:ln>
                              <a:extLst>
                                <a:ext xmlns:a="http://schemas.openxmlformats.org/drawingml/2006/main" uri="{909E8E84-426E-40DD-AFC4-6F175D3DCCD1}">
                                  <a14:hiddenFill xmlns:a14="http://schemas.microsoft.com/office/drawing/2010/main">
                                    <a:solidFill>
                                      <a:srgbClr val="FFFFFF"/>
                                    </a:solidFill>
                                  </a14:hiddenFill>
                                </a:ext>
                              </a:extLst>
                            </wps:spPr>
                            <wps:txbx>
                              <w:txbxContent>
                                <w:p w:rsidR="00C16259" w:rsidP="00C16259" w14:textId="77777777">
                                  <w:r>
                                    <w:t>7”</w:t>
                                  </w:r>
                                </w:p>
                                <w:p w:rsidR="00C16259" w:rsidP="00C16259" w14:textId="77777777">
                                  <w:r>
                                    <w:t>Min</w:t>
                                  </w:r>
                                </w:p>
                              </w:txbxContent>
                            </wps:txbx>
                            <wps:bodyPr rot="0" vert="horz" wrap="square" lIns="12700" tIns="12700" rIns="12700" bIns="12700" anchor="t" anchorCtr="0" upright="1"/>
                          </wps:wsp>
                        </a:graphicData>
                      </a:graphic>
                      <wp14:sizeRelH relativeFrom="page">
                        <wp14:pctWidth>0</wp14:pctWidth>
                      </wp14:sizeRelH>
                      <wp14:sizeRelV relativeFrom="page">
                        <wp14:pctHeight>0</wp14:pctHeight>
                      </wp14:sizeRelV>
                    </wp:anchor>
                  </w:drawing>
                </mc:Choice>
                <mc:Fallback>
                  <w:pict>
                    <v:rect id="Rectangle 1143" o:spid="_x0000_s1025" style="width:28.85pt;height:28.85pt;margin-top:-590.4pt;margin-left:6in;mso-height-percent:0;mso-height-relative:page;mso-width-percent:0;mso-width-relative:page;mso-wrap-distance-bottom:0;mso-wrap-distance-left:9pt;mso-wrap-distance-right:9pt;mso-wrap-distance-top:0;mso-wrap-style:square;position:absolute;visibility:visible;v-text-anchor:top;z-index:251659264" o:allowincell="f" filled="f" strokecolor="white">
                      <v:textbox inset="1pt,1pt,1pt,1pt">
                        <w:txbxContent>
                          <w:p w:rsidR="00C16259" w:rsidP="00C16259" w14:paraId="2070A315" w14:textId="77777777">
                            <w:r>
                              <w:t>7”</w:t>
                            </w:r>
                          </w:p>
                          <w:p w:rsidR="00C16259" w:rsidP="00C16259" w14:paraId="1C2D1700" w14:textId="77777777">
                            <w:r>
                              <w:t>Min</w:t>
                            </w:r>
                          </w:p>
                        </w:txbxContent>
                      </v:textbox>
                    </v:rect>
                  </w:pict>
                </mc:Fallback>
              </mc:AlternateContent>
            </w:r>
            <w:r w:rsidRPr="00F000BE">
              <w:rPr>
                <w:rFonts w:cs="Arial"/>
                <w:sz w:val="18"/>
                <w:szCs w:val="18"/>
              </w:rPr>
              <w:t>4.</w:t>
            </w:r>
            <w:r w:rsidRPr="00F000BE">
              <w:rPr>
                <w:rFonts w:cs="Arial"/>
                <w:sz w:val="18"/>
                <w:szCs w:val="18"/>
              </w:rPr>
              <w:tab/>
              <w:t>Surface - Asphalt Concrete Type SM-9.5D @ 165 lbs. per sq. yd.</w:t>
            </w:r>
          </w:p>
        </w:tc>
        <w:tc>
          <w:tcPr>
            <w:tcW w:w="360" w:type="dxa"/>
          </w:tcPr>
          <w:p w:rsidR="00C16259" w:rsidRPr="00F000BE" w:rsidP="00E770C0" w14:paraId="19092DF9" w14:textId="77777777">
            <w:pPr>
              <w:rPr>
                <w:sz w:val="18"/>
                <w:szCs w:val="18"/>
              </w:rPr>
            </w:pPr>
          </w:p>
        </w:tc>
        <w:tc>
          <w:tcPr>
            <w:tcW w:w="4518" w:type="dxa"/>
          </w:tcPr>
          <w:p w:rsidR="00C16259" w:rsidRPr="00F000BE" w:rsidP="00E770C0" w14:paraId="1035755D" w14:textId="77777777">
            <w:pPr>
              <w:ind w:left="432" w:hanging="360"/>
              <w:rPr>
                <w:rFonts w:cs="Arial"/>
                <w:sz w:val="18"/>
                <w:szCs w:val="18"/>
              </w:rPr>
            </w:pPr>
          </w:p>
          <w:p w:rsidR="00C16259" w:rsidRPr="00F000BE" w:rsidP="00E770C0" w14:paraId="6DE42455" w14:textId="77777777">
            <w:pPr>
              <w:ind w:left="432" w:hanging="360"/>
              <w:rPr>
                <w:rFonts w:cs="Arial"/>
                <w:sz w:val="18"/>
                <w:szCs w:val="18"/>
              </w:rPr>
            </w:pPr>
          </w:p>
          <w:p w:rsidR="00C16259" w:rsidRPr="00F000BE" w:rsidP="00E770C0" w14:paraId="6452CFE1" w14:textId="77777777">
            <w:pPr>
              <w:ind w:left="432" w:hanging="360"/>
              <w:rPr>
                <w:rFonts w:cs="Arial"/>
                <w:sz w:val="18"/>
                <w:szCs w:val="18"/>
              </w:rPr>
            </w:pPr>
            <w:r w:rsidRPr="00F000BE">
              <w:rPr>
                <w:rFonts w:cs="Arial"/>
                <w:sz w:val="18"/>
                <w:szCs w:val="18"/>
              </w:rPr>
              <w:t>5.</w:t>
            </w:r>
            <w:r w:rsidRPr="00F000BE">
              <w:rPr>
                <w:rFonts w:cs="Arial"/>
                <w:sz w:val="18"/>
                <w:szCs w:val="18"/>
              </w:rPr>
              <w:tab/>
              <w:t>Surface - Blotted Seal Coat Type C: The initial seal and final seal shall be CRS-2, CMA-2 or CMS-2h liquid asphalt material @ 0.17 gal./sq. yd. with 15 lbs. of No. 8P stone/sq. yd. each.  The blot seal shall be CRS-2, CMS-2 or CMS-2h liquid asphalt material @ 0.15 gal./sq. yd. with 10 lbs. of fine aggregate grade B sand per sq. yd.</w:t>
            </w:r>
          </w:p>
          <w:p w:rsidR="00C16259" w:rsidRPr="00F000BE" w:rsidP="00E770C0" w14:paraId="57FDE672" w14:textId="77777777">
            <w:pPr>
              <w:ind w:left="432" w:hanging="360"/>
              <w:rPr>
                <w:rFonts w:cs="Arial"/>
                <w:sz w:val="18"/>
                <w:szCs w:val="18"/>
              </w:rPr>
            </w:pPr>
          </w:p>
          <w:p w:rsidR="00C16259" w:rsidRPr="00F000BE" w:rsidP="00E770C0" w14:paraId="427E78FB" w14:textId="77777777">
            <w:pPr>
              <w:ind w:left="432" w:hanging="360"/>
              <w:rPr>
                <w:rFonts w:cs="Arial"/>
                <w:sz w:val="18"/>
                <w:szCs w:val="18"/>
              </w:rPr>
            </w:pPr>
            <w:r w:rsidRPr="00F000BE">
              <w:rPr>
                <w:rFonts w:cs="Arial"/>
                <w:sz w:val="18"/>
                <w:szCs w:val="18"/>
              </w:rPr>
              <w:t>6.</w:t>
            </w:r>
            <w:r w:rsidRPr="00F000BE">
              <w:rPr>
                <w:rFonts w:cs="Arial"/>
                <w:sz w:val="18"/>
                <w:szCs w:val="18"/>
              </w:rPr>
              <w:tab/>
              <w:t>Subbase - Aggregate material Type 1 Size 21B</w:t>
            </w:r>
          </w:p>
          <w:p w:rsidR="00C16259" w:rsidRPr="00F000BE" w:rsidP="00E770C0" w14:paraId="08F41FA9" w14:textId="77777777">
            <w:pPr>
              <w:ind w:left="432" w:hanging="360"/>
              <w:rPr>
                <w:rFonts w:cs="Arial"/>
                <w:sz w:val="18"/>
                <w:szCs w:val="18"/>
              </w:rPr>
            </w:pPr>
          </w:p>
          <w:p w:rsidR="00C16259" w:rsidRPr="00F000BE" w:rsidP="00E770C0" w14:paraId="186F4E25" w14:textId="77777777">
            <w:pPr>
              <w:ind w:left="432" w:hanging="360"/>
              <w:rPr>
                <w:sz w:val="18"/>
                <w:szCs w:val="18"/>
              </w:rPr>
            </w:pPr>
            <w:r w:rsidRPr="00F000BE">
              <w:rPr>
                <w:rFonts w:cs="Arial"/>
                <w:sz w:val="18"/>
                <w:szCs w:val="18"/>
              </w:rPr>
              <w:t>7.</w:t>
            </w:r>
            <w:r w:rsidRPr="00F000BE">
              <w:rPr>
                <w:rFonts w:cs="Arial"/>
                <w:sz w:val="18"/>
                <w:szCs w:val="18"/>
              </w:rPr>
              <w:tab/>
              <w:t>Surface - Hydraulic Cement Concrete, high early strength, matching existing structure for depth and surface texture.</w:t>
            </w:r>
          </w:p>
        </w:tc>
      </w:tr>
    </w:tbl>
    <w:p w:rsidR="00C16259" w:rsidRPr="00F000BE" w:rsidP="00C16259" w14:paraId="34CDC3BC" w14:textId="77777777">
      <w:bookmarkStart w:id="5" w:name="_GoBack"/>
      <w:bookmarkEnd w:id="5"/>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6EC2"/>
    <w:rsid w:val="00062167"/>
    <w:rsid w:val="000A1513"/>
    <w:rsid w:val="000A67BF"/>
    <w:rsid w:val="000B4E4A"/>
    <w:rsid w:val="000C412B"/>
    <w:rsid w:val="000F194F"/>
    <w:rsid w:val="000F5496"/>
    <w:rsid w:val="00107AEC"/>
    <w:rsid w:val="00117EF8"/>
    <w:rsid w:val="00130682"/>
    <w:rsid w:val="00143549"/>
    <w:rsid w:val="00173959"/>
    <w:rsid w:val="00193FBA"/>
    <w:rsid w:val="00195503"/>
    <w:rsid w:val="001A034D"/>
    <w:rsid w:val="001A09AC"/>
    <w:rsid w:val="001A305C"/>
    <w:rsid w:val="001C4040"/>
    <w:rsid w:val="00200A57"/>
    <w:rsid w:val="002147D7"/>
    <w:rsid w:val="002149BE"/>
    <w:rsid w:val="002215EC"/>
    <w:rsid w:val="0024067C"/>
    <w:rsid w:val="002438FE"/>
    <w:rsid w:val="0025109E"/>
    <w:rsid w:val="00293D6E"/>
    <w:rsid w:val="002D6861"/>
    <w:rsid w:val="002D7FF5"/>
    <w:rsid w:val="00304D52"/>
    <w:rsid w:val="00330195"/>
    <w:rsid w:val="00362F51"/>
    <w:rsid w:val="00363EA8"/>
    <w:rsid w:val="00391CF5"/>
    <w:rsid w:val="003D0DE2"/>
    <w:rsid w:val="003D6F09"/>
    <w:rsid w:val="003E2CB4"/>
    <w:rsid w:val="00407155"/>
    <w:rsid w:val="00413782"/>
    <w:rsid w:val="00431426"/>
    <w:rsid w:val="00432F61"/>
    <w:rsid w:val="004425F3"/>
    <w:rsid w:val="00450017"/>
    <w:rsid w:val="00461FF3"/>
    <w:rsid w:val="00472E9D"/>
    <w:rsid w:val="00477527"/>
    <w:rsid w:val="0048491E"/>
    <w:rsid w:val="004B4B71"/>
    <w:rsid w:val="004B5519"/>
    <w:rsid w:val="004B7FD4"/>
    <w:rsid w:val="004C068D"/>
    <w:rsid w:val="004C14A1"/>
    <w:rsid w:val="004F6C7B"/>
    <w:rsid w:val="00510D35"/>
    <w:rsid w:val="00516FCB"/>
    <w:rsid w:val="00544F66"/>
    <w:rsid w:val="00546DC5"/>
    <w:rsid w:val="00553BF6"/>
    <w:rsid w:val="00574B46"/>
    <w:rsid w:val="00583A3E"/>
    <w:rsid w:val="00586DC9"/>
    <w:rsid w:val="0059733A"/>
    <w:rsid w:val="005A4D07"/>
    <w:rsid w:val="005A5B11"/>
    <w:rsid w:val="005B2DE5"/>
    <w:rsid w:val="005C180C"/>
    <w:rsid w:val="005D4900"/>
    <w:rsid w:val="005F0785"/>
    <w:rsid w:val="00627601"/>
    <w:rsid w:val="006306FE"/>
    <w:rsid w:val="00676336"/>
    <w:rsid w:val="006825BF"/>
    <w:rsid w:val="006A07F3"/>
    <w:rsid w:val="006A2261"/>
    <w:rsid w:val="006A2AFF"/>
    <w:rsid w:val="006A3977"/>
    <w:rsid w:val="006B1BA8"/>
    <w:rsid w:val="006B3094"/>
    <w:rsid w:val="006B7FCB"/>
    <w:rsid w:val="006C3E33"/>
    <w:rsid w:val="006F17B7"/>
    <w:rsid w:val="007166B0"/>
    <w:rsid w:val="0071701C"/>
    <w:rsid w:val="0072326D"/>
    <w:rsid w:val="00725454"/>
    <w:rsid w:val="00731CCB"/>
    <w:rsid w:val="0078729B"/>
    <w:rsid w:val="007A334E"/>
    <w:rsid w:val="007C3D79"/>
    <w:rsid w:val="007D4C15"/>
    <w:rsid w:val="0082203D"/>
    <w:rsid w:val="00833443"/>
    <w:rsid w:val="00862AD9"/>
    <w:rsid w:val="00866C5C"/>
    <w:rsid w:val="00867F9E"/>
    <w:rsid w:val="008716DD"/>
    <w:rsid w:val="00880B39"/>
    <w:rsid w:val="008A523E"/>
    <w:rsid w:val="009010A5"/>
    <w:rsid w:val="00944D71"/>
    <w:rsid w:val="00944F39"/>
    <w:rsid w:val="009544D8"/>
    <w:rsid w:val="0096455F"/>
    <w:rsid w:val="00965CE6"/>
    <w:rsid w:val="0096750E"/>
    <w:rsid w:val="009676B5"/>
    <w:rsid w:val="009779CA"/>
    <w:rsid w:val="00984B67"/>
    <w:rsid w:val="009A5EE3"/>
    <w:rsid w:val="009D24D6"/>
    <w:rsid w:val="009F3964"/>
    <w:rsid w:val="00A00FF3"/>
    <w:rsid w:val="00A0105E"/>
    <w:rsid w:val="00A02BF6"/>
    <w:rsid w:val="00A06350"/>
    <w:rsid w:val="00A10474"/>
    <w:rsid w:val="00A1617D"/>
    <w:rsid w:val="00A21ABA"/>
    <w:rsid w:val="00A51519"/>
    <w:rsid w:val="00A65374"/>
    <w:rsid w:val="00A66530"/>
    <w:rsid w:val="00A85375"/>
    <w:rsid w:val="00AA49D0"/>
    <w:rsid w:val="00AA5C1E"/>
    <w:rsid w:val="00AB38F9"/>
    <w:rsid w:val="00B03E56"/>
    <w:rsid w:val="00B11F8B"/>
    <w:rsid w:val="00B26F38"/>
    <w:rsid w:val="00B27C1F"/>
    <w:rsid w:val="00B35039"/>
    <w:rsid w:val="00B51178"/>
    <w:rsid w:val="00BA051A"/>
    <w:rsid w:val="00BB2A76"/>
    <w:rsid w:val="00BB3332"/>
    <w:rsid w:val="00BB4600"/>
    <w:rsid w:val="00BC0A28"/>
    <w:rsid w:val="00BC4270"/>
    <w:rsid w:val="00BC7D8C"/>
    <w:rsid w:val="00BD079C"/>
    <w:rsid w:val="00BE3329"/>
    <w:rsid w:val="00C011C3"/>
    <w:rsid w:val="00C16259"/>
    <w:rsid w:val="00C46D4D"/>
    <w:rsid w:val="00C5524D"/>
    <w:rsid w:val="00C56BE2"/>
    <w:rsid w:val="00C640E3"/>
    <w:rsid w:val="00C82B62"/>
    <w:rsid w:val="00C927B8"/>
    <w:rsid w:val="00CA5396"/>
    <w:rsid w:val="00CC528F"/>
    <w:rsid w:val="00CE28D8"/>
    <w:rsid w:val="00D07472"/>
    <w:rsid w:val="00D17E07"/>
    <w:rsid w:val="00D44197"/>
    <w:rsid w:val="00D532D1"/>
    <w:rsid w:val="00D57899"/>
    <w:rsid w:val="00D7425B"/>
    <w:rsid w:val="00D74A4C"/>
    <w:rsid w:val="00D82EF0"/>
    <w:rsid w:val="00D86633"/>
    <w:rsid w:val="00DA60C9"/>
    <w:rsid w:val="00DD28D0"/>
    <w:rsid w:val="00DD55AF"/>
    <w:rsid w:val="00E049D1"/>
    <w:rsid w:val="00E1261C"/>
    <w:rsid w:val="00E1312B"/>
    <w:rsid w:val="00E34F5C"/>
    <w:rsid w:val="00E41572"/>
    <w:rsid w:val="00E52DEB"/>
    <w:rsid w:val="00E6180D"/>
    <w:rsid w:val="00E6690D"/>
    <w:rsid w:val="00E67DFC"/>
    <w:rsid w:val="00E75AF1"/>
    <w:rsid w:val="00E770C0"/>
    <w:rsid w:val="00E91EB6"/>
    <w:rsid w:val="00EB28CC"/>
    <w:rsid w:val="00EF4E5C"/>
    <w:rsid w:val="00F000BE"/>
    <w:rsid w:val="00F234D3"/>
    <w:rsid w:val="00F54BE1"/>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E8BBB371-0BFB-45ED-A784-998269374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02-000100-00.docx" TargetMode="Externa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SP302-000100-00</Specification_x0020_Number>
    <Status xmlns="2328571d-b9d5-471b-8d96-2ccb743ec3d4">Active</Status>
    <Usage_x0020_Guidelines xmlns="2328571d-b9d5-471b-8d96-2ccb743ec3d4">For projects that allow existing pavement to be open cut. Include in the proposal: SP314-000110-00 or SP314-000100-00.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A46AB68F-6A8C-492A-8FF1-2F1A1B6877B8}">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2</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RESTORING EXISTING PAVEMENT</dc:title>
  <dc:creator>vdot</dc:creator>
  <cp:lastModifiedBy>Gayle, David W. (VDOT)</cp:lastModifiedBy>
  <cp:revision>131</cp:revision>
  <dcterms:created xsi:type="dcterms:W3CDTF">2015-10-15T17:45:00Z</dcterms:created>
  <dcterms:modified xsi:type="dcterms:W3CDTF">2018-04-10T19:18:00Z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https://outsidevdot.cov.virginia.gov/P0JQP/2016_Standard_Specifications/Forms/PLGG.aspx?View={059C9ADD-1EEB-4E46-8248-51123B71B3E6}&amp;FilterField1=ID&amp;FilterValue1=126,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302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SP302-000100-00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projects that allow existing pavement to be open cut. Include in the proposal: SP314-000110-00 or SP314-000100-00.{2007-S302B00}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