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13BAF" w:rsidP="00913BAF" w14:paraId="1A322A33" w14:textId="77777777">
      <w:pPr>
        <w:spacing w:after="0" w:line="240" w:lineRule="auto"/>
        <w:jc w:val="both"/>
        <w:rPr>
          <w:rFonts w:cs="Arial"/>
          <w:vanish/>
          <w:color w:val="FF0000"/>
          <w:sz w:val="18"/>
          <w:szCs w:val="20"/>
        </w:rPr>
      </w:pPr>
      <w:r>
        <w:rPr>
          <w:rFonts w:cs="Arial"/>
          <w:b/>
          <w:vanish/>
          <w:color w:val="FF0000"/>
          <w:sz w:val="18"/>
          <w:szCs w:val="20"/>
        </w:rPr>
        <w:t>GUIDELINES:</w:t>
      </w:r>
      <w:r>
        <w:rPr>
          <w:rFonts w:cs="Arial"/>
          <w:vanish/>
          <w:color w:val="FF0000"/>
          <w:sz w:val="18"/>
          <w:szCs w:val="20"/>
        </w:rPr>
        <w:t xml:space="preserve"> Use this spec where the Contractor has recommended Number 10 Screenings for use on certain items as a Value Engineering Proposal, or where Number 10 Screenings </w:t>
      </w:r>
      <w:r>
        <w:rPr>
          <w:rFonts w:cs="Arial"/>
          <w:vanish/>
          <w:color w:val="FF0000"/>
          <w:sz w:val="18"/>
          <w:szCs w:val="20"/>
        </w:rPr>
        <w:t>are specified</w:t>
      </w:r>
      <w:r>
        <w:rPr>
          <w:rFonts w:cs="Arial"/>
          <w:vanish/>
          <w:color w:val="FF0000"/>
          <w:sz w:val="18"/>
          <w:szCs w:val="20"/>
        </w:rPr>
        <w:t xml:space="preserve"> as an alternate bid item. If the Plans specifically require Number 10 Screenings, contact the State Specifications Engineer for clarification before use.</w:t>
      </w:r>
    </w:p>
    <w:p w:rsidR="00913BAF" w:rsidP="00913BAF" w14:paraId="118997FC" w14:textId="77777777">
      <w:pPr>
        <w:spacing w:after="0" w:line="240" w:lineRule="auto"/>
        <w:jc w:val="both"/>
        <w:rPr>
          <w:rFonts w:cs="Arial"/>
          <w:vanish/>
          <w:color w:val="FF0000"/>
          <w:sz w:val="18"/>
          <w:szCs w:val="20"/>
        </w:rPr>
      </w:pPr>
    </w:p>
    <w:p w:rsidR="009431E6" w:rsidRPr="00F000BE" w:rsidP="009431E6" w14:paraId="6D8E9BA3" w14:textId="690B9BBE">
      <w:pPr>
        <w:ind w:left="2070" w:hanging="2070"/>
      </w:pPr>
      <w:hyperlink r:id="rId7" w:tooltip="USE OF NUMBER 10 SCREENINGS 4-28-17 Guidelines -For use in all projects where substitution of Number 10 Screenings for other materials will be allowed." w:history="1">
        <w:r w:rsidRPr="00E971BB" w:rsidR="00AD1797">
          <w:rPr>
            <w:rStyle w:val="Hyperlink"/>
            <w:rFonts w:cs="Arial"/>
            <w:b/>
            <w:bCs/>
          </w:rPr>
          <w:t>SP303-000210-00</w:t>
        </w:r>
      </w:hyperlink>
      <w:r w:rsidRPr="00FC796C">
        <w:rPr>
          <w:rStyle w:val="Hyperlink"/>
          <w:bCs/>
          <w:color w:val="auto"/>
          <w:u w:val="none"/>
        </w:rPr>
        <w:t xml:space="preserve"> [formerly </w:t>
      </w:r>
      <w:hyperlink r:id="rId8" w:tooltip="USE OF NUMBER 10 SCREENINGS 4-28-17 Guidelines -For use in all projects where substitution of Number 10 Screenings for other materials will be allowed." w:history="1">
        <w:r w:rsidRPr="00FC796C" w:rsidR="00FC796C">
          <w:rPr>
            <w:rStyle w:val="Hyperlink"/>
            <w:rFonts w:cs="Arial"/>
            <w:bCs/>
            <w:color w:val="auto"/>
            <w:u w:val="none"/>
          </w:rPr>
          <w:t>SP303-020100-00</w:t>
        </w:r>
      </w:hyperlink>
      <w:r w:rsidRPr="00FC796C">
        <w:rPr>
          <w:rStyle w:val="Hyperlink"/>
          <w:bCs/>
          <w:color w:val="auto"/>
          <w:u w:val="none"/>
        </w:rPr>
        <w:t>]</w:t>
      </w:r>
    </w:p>
    <w:p w:rsidR="00913BAF" w:rsidRPr="00862FC6" w:rsidP="00913BAF" w14:paraId="66984D86" w14:textId="77777777">
      <w:pPr>
        <w:spacing w:after="0" w:line="240" w:lineRule="auto"/>
        <w:rPr>
          <w:rFonts w:cs="Arial"/>
          <w:vanish/>
          <w:sz w:val="18"/>
          <w:szCs w:val="20"/>
        </w:rPr>
      </w:pPr>
    </w:p>
    <w:p w:rsidR="00913BAF" w:rsidP="00913BAF" w14:paraId="7BE3099C" w14:textId="77777777">
      <w:pPr>
        <w:spacing w:after="0" w:line="240" w:lineRule="auto"/>
        <w:rPr>
          <w:rFonts w:cs="Arial"/>
          <w:szCs w:val="20"/>
        </w:rPr>
      </w:pPr>
    </w:p>
    <w:p w:rsidR="00913BAF" w:rsidRPr="00606F01" w:rsidP="00913BAF" w14:paraId="4FF49025" w14:textId="77777777">
      <w:pPr>
        <w:spacing w:after="0" w:line="240" w:lineRule="auto"/>
        <w:jc w:val="center"/>
        <w:rPr>
          <w:rFonts w:cs="Arial"/>
          <w:szCs w:val="20"/>
        </w:rPr>
      </w:pPr>
      <w:r w:rsidRPr="00606F01">
        <w:rPr>
          <w:rFonts w:cs="Arial"/>
          <w:szCs w:val="20"/>
        </w:rPr>
        <w:t>VIRGINIA DEPARTMENT OF TRANSPORTATION</w:t>
      </w:r>
    </w:p>
    <w:p w:rsidR="00913BAF" w:rsidRPr="00606F01" w:rsidP="00913BAF" w14:paraId="744AB9A0" w14:textId="77777777">
      <w:pPr>
        <w:spacing w:after="0" w:line="240" w:lineRule="auto"/>
        <w:jc w:val="center"/>
        <w:rPr>
          <w:rFonts w:cs="Arial"/>
          <w:szCs w:val="20"/>
        </w:rPr>
      </w:pPr>
      <w:r w:rsidRPr="00606F01">
        <w:rPr>
          <w:rFonts w:cs="Arial"/>
          <w:szCs w:val="20"/>
        </w:rPr>
        <w:t>SPECIAL PROVISION FOR</w:t>
      </w:r>
    </w:p>
    <w:p w:rsidR="00913BAF" w:rsidP="00913BAF" w14:paraId="71C01553" w14:textId="03EB0A85">
      <w:pPr>
        <w:spacing w:after="0" w:line="240" w:lineRule="auto"/>
        <w:jc w:val="center"/>
        <w:rPr>
          <w:rFonts w:cs="Arial"/>
          <w:b/>
          <w:szCs w:val="20"/>
        </w:rPr>
      </w:pPr>
      <w:r w:rsidRPr="00606F01">
        <w:rPr>
          <w:rFonts w:cs="Arial"/>
          <w:b/>
          <w:szCs w:val="20"/>
        </w:rPr>
        <w:t>USE OF NUMBER 10 SCREENINGS</w:t>
      </w:r>
      <w:r>
        <w:rPr>
          <w:b/>
        </w:rPr>
        <w:fldChar w:fldCharType="begin"/>
      </w:r>
      <w:r w:rsidRPr="00F000BE">
        <w:instrText xml:space="preserve"> TC "</w:instrText>
      </w:r>
      <w:bookmarkStart w:id="0" w:name="_Toc447708149"/>
      <w:bookmarkStart w:id="1" w:name="_Toc448144521"/>
      <w:r w:rsidRPr="00203C9A" w:rsidR="00203C9A">
        <w:rPr>
          <w:b/>
        </w:rPr>
        <w:instrText>SP303-000210-00</w:instrText>
      </w:r>
      <w:bookmarkStart w:id="2" w:name="_GoBack"/>
      <w:bookmarkEnd w:id="2"/>
      <w:r w:rsidRPr="00F000BE">
        <w:rPr>
          <w:spacing w:val="-3"/>
        </w:rPr>
        <w:instrText>   </w:instrText>
      </w:r>
      <w:r w:rsidRPr="00606F01">
        <w:rPr>
          <w:rFonts w:cs="Arial"/>
          <w:b/>
          <w:szCs w:val="20"/>
        </w:rPr>
        <w:instrText>USE OF NUMBER 10 SCREENINGS</w:instrText>
      </w:r>
      <w:r w:rsidRPr="00F000BE">
        <w:instrText xml:space="preserve"> </w:instrText>
      </w:r>
      <w:r>
        <w:instrText xml:space="preserve"> </w:instrText>
      </w:r>
      <w:r w:rsidRPr="00F000BE">
        <w:instrText xml:space="preserve"> </w:instrText>
      </w:r>
      <w:r>
        <w:instrText>4</w:instrText>
      </w:r>
      <w:r w:rsidRPr="00F000BE">
        <w:instrText>-</w:instrText>
      </w:r>
      <w:r>
        <w:instrText>28</w:instrText>
      </w:r>
      <w:r w:rsidRPr="00F000BE">
        <w:instrText>-1</w:instrText>
      </w:r>
      <w:bookmarkEnd w:id="0"/>
      <w:bookmarkEnd w:id="1"/>
      <w:r>
        <w:instrText>7</w:instrText>
      </w:r>
      <w:r w:rsidRPr="00F000BE">
        <w:instrText xml:space="preserve"> " \f C \l "1" </w:instrText>
      </w:r>
      <w:r>
        <w:rPr>
          <w:b/>
        </w:rPr>
        <w:fldChar w:fldCharType="end"/>
      </w:r>
    </w:p>
    <w:p w:rsidR="00913BAF" w:rsidRPr="00606F01" w:rsidP="00913BAF" w14:paraId="70FF0810" w14:textId="77777777">
      <w:pPr>
        <w:spacing w:after="0" w:line="240" w:lineRule="auto"/>
        <w:jc w:val="center"/>
        <w:rPr>
          <w:rFonts w:cs="Arial"/>
          <w:b/>
          <w:szCs w:val="20"/>
        </w:rPr>
      </w:pPr>
    </w:p>
    <w:p w:rsidR="00913BAF" w:rsidRPr="001D06E1" w:rsidP="00913BAF" w14:paraId="02E531D9" w14:textId="77777777">
      <w:pPr>
        <w:spacing w:line="240" w:lineRule="auto"/>
        <w:jc w:val="right"/>
        <w:rPr>
          <w:rFonts w:cs="Arial"/>
          <w:color w:val="000000"/>
          <w:szCs w:val="20"/>
        </w:rPr>
      </w:pPr>
      <w:r>
        <w:rPr>
          <w:rFonts w:cs="Arial"/>
          <w:szCs w:val="20"/>
        </w:rPr>
        <w:t>April 28, 2017</w:t>
      </w:r>
    </w:p>
    <w:p w:rsidR="00913BAF" w:rsidRPr="00606F01" w:rsidP="00913BAF" w14:paraId="2DB5F1D4" w14:textId="77777777">
      <w:pPr>
        <w:pStyle w:val="ListParagraph"/>
        <w:numPr>
          <w:ilvl w:val="0"/>
          <w:numId w:val="2"/>
        </w:numPr>
        <w:spacing w:line="240" w:lineRule="auto"/>
        <w:rPr>
          <w:rFonts w:cs="Arial"/>
          <w:color w:val="000000"/>
          <w:szCs w:val="20"/>
        </w:rPr>
      </w:pPr>
      <w:r w:rsidRPr="00947C9E">
        <w:rPr>
          <w:rFonts w:cs="Arial"/>
          <w:b/>
          <w:color w:val="000000"/>
          <w:szCs w:val="20"/>
        </w:rPr>
        <w:t>DESCRIPTION</w:t>
      </w:r>
    </w:p>
    <w:p w:rsidR="00913BAF" w:rsidRPr="00606F01" w:rsidP="00913BAF" w14:paraId="380B1B00" w14:textId="77777777">
      <w:pPr>
        <w:autoSpaceDE w:val="0"/>
        <w:autoSpaceDN w:val="0"/>
        <w:adjustRightInd w:val="0"/>
        <w:spacing w:line="240" w:lineRule="auto"/>
        <w:ind w:left="360"/>
        <w:jc w:val="both"/>
        <w:rPr>
          <w:rFonts w:cs="Arial"/>
          <w:color w:val="000000"/>
          <w:szCs w:val="20"/>
        </w:rPr>
      </w:pPr>
      <w:r w:rsidRPr="00606F01">
        <w:rPr>
          <w:rFonts w:cs="Arial"/>
          <w:color w:val="000000"/>
          <w:szCs w:val="20"/>
        </w:rPr>
        <w:t xml:space="preserve">This Special Provision </w:t>
      </w:r>
      <w:r>
        <w:rPr>
          <w:rFonts w:cs="Arial"/>
          <w:color w:val="000000"/>
          <w:szCs w:val="20"/>
        </w:rPr>
        <w:t>cover</w:t>
      </w:r>
      <w:r w:rsidRPr="00606F01">
        <w:rPr>
          <w:rFonts w:cs="Arial"/>
          <w:color w:val="000000"/>
          <w:szCs w:val="20"/>
        </w:rPr>
        <w:t xml:space="preserve"> the use of No. 10 Screenings in various applications on the </w:t>
      </w:r>
      <w:r>
        <w:rPr>
          <w:rFonts w:cs="Arial"/>
          <w:color w:val="000000"/>
          <w:szCs w:val="20"/>
        </w:rPr>
        <w:t>P</w:t>
      </w:r>
      <w:r w:rsidRPr="00606F01">
        <w:rPr>
          <w:rFonts w:cs="Arial"/>
          <w:color w:val="000000"/>
          <w:szCs w:val="20"/>
        </w:rPr>
        <w:t xml:space="preserve">roject.  No. 10 Screenings </w:t>
      </w:r>
      <w:r>
        <w:rPr>
          <w:rFonts w:cs="Arial"/>
          <w:color w:val="000000"/>
          <w:szCs w:val="20"/>
        </w:rPr>
        <w:t>shall be used</w:t>
      </w:r>
      <w:r>
        <w:rPr>
          <w:rFonts w:cs="Arial"/>
          <w:color w:val="000000"/>
          <w:szCs w:val="20"/>
        </w:rPr>
        <w:t xml:space="preserve"> in locations designated in the Contract.</w:t>
      </w:r>
    </w:p>
    <w:p w:rsidR="00913BAF" w:rsidRPr="00606F01" w:rsidP="00913BAF" w14:paraId="1D179656" w14:textId="77777777">
      <w:pPr>
        <w:pStyle w:val="ListParagraph"/>
        <w:numPr>
          <w:ilvl w:val="0"/>
          <w:numId w:val="2"/>
        </w:numPr>
        <w:spacing w:line="240" w:lineRule="auto"/>
        <w:contextualSpacing w:val="0"/>
        <w:rPr>
          <w:rFonts w:cs="Arial"/>
          <w:color w:val="000000"/>
          <w:szCs w:val="20"/>
        </w:rPr>
      </w:pPr>
      <w:r w:rsidRPr="00947C9E">
        <w:rPr>
          <w:rFonts w:cs="Arial"/>
          <w:b/>
          <w:color w:val="000000"/>
          <w:szCs w:val="20"/>
        </w:rPr>
        <w:t>MATERIALS</w:t>
      </w:r>
    </w:p>
    <w:p w:rsidR="00913BAF" w:rsidP="00913BAF" w14:paraId="2CEF11B9" w14:textId="77777777">
      <w:pPr>
        <w:pStyle w:val="ListParagraph"/>
        <w:numPr>
          <w:ilvl w:val="1"/>
          <w:numId w:val="2"/>
        </w:numPr>
        <w:autoSpaceDE w:val="0"/>
        <w:autoSpaceDN w:val="0"/>
        <w:adjustRightInd w:val="0"/>
        <w:spacing w:line="240" w:lineRule="auto"/>
        <w:contextualSpacing w:val="0"/>
        <w:jc w:val="both"/>
        <w:rPr>
          <w:rFonts w:cs="Arial"/>
          <w:color w:val="000000"/>
          <w:szCs w:val="20"/>
        </w:rPr>
      </w:pPr>
      <w:r w:rsidRPr="00A52794">
        <w:rPr>
          <w:rFonts w:cs="Arial"/>
          <w:b/>
          <w:color w:val="000000"/>
          <w:szCs w:val="20"/>
        </w:rPr>
        <w:t>No. 10 Screenings</w:t>
      </w:r>
      <w:r w:rsidRPr="00A52794">
        <w:rPr>
          <w:rFonts w:cs="Arial"/>
          <w:color w:val="000000"/>
          <w:szCs w:val="20"/>
        </w:rPr>
        <w:t xml:space="preserve"> </w:t>
      </w:r>
      <w:r>
        <w:rPr>
          <w:rFonts w:cs="Arial"/>
          <w:color w:val="000000"/>
          <w:szCs w:val="20"/>
        </w:rPr>
        <w:t>(</w:t>
      </w:r>
      <w:r w:rsidRPr="00A52794">
        <w:rPr>
          <w:rFonts w:cs="Arial"/>
          <w:color w:val="000000"/>
          <w:szCs w:val="20"/>
        </w:rPr>
        <w:t>also known as quarry dust, rock dust, quarry screenings, rock screenings and quarry byproduct</w:t>
      </w:r>
      <w:r>
        <w:rPr>
          <w:rFonts w:cs="Arial"/>
          <w:color w:val="000000"/>
          <w:szCs w:val="20"/>
        </w:rPr>
        <w:t>)</w:t>
      </w:r>
      <w:r w:rsidRPr="00A52794">
        <w:rPr>
          <w:rFonts w:cs="Arial"/>
          <w:color w:val="000000"/>
          <w:szCs w:val="20"/>
        </w:rPr>
        <w:t xml:space="preserve"> </w:t>
      </w:r>
      <w:r w:rsidRPr="00A52794">
        <w:rPr>
          <w:rFonts w:cs="Arial"/>
          <w:color w:val="000000"/>
          <w:szCs w:val="20"/>
        </w:rPr>
        <w:t>may be used</w:t>
      </w:r>
      <w:r w:rsidRPr="00A52794">
        <w:rPr>
          <w:rFonts w:cs="Arial"/>
          <w:color w:val="000000"/>
          <w:szCs w:val="20"/>
        </w:rPr>
        <w:t xml:space="preserve"> as an acceptable source of borrow material for the applications described herein. No. 10 Screenings shall conform to the requirements herein and elsewhere in the Contract</w:t>
      </w:r>
      <w:r>
        <w:rPr>
          <w:rFonts w:cs="Arial"/>
          <w:color w:val="000000"/>
          <w:szCs w:val="20"/>
        </w:rPr>
        <w:t>.  For the purpose of this S</w:t>
      </w:r>
      <w:r w:rsidRPr="00A52794">
        <w:rPr>
          <w:rFonts w:cs="Arial"/>
          <w:color w:val="000000"/>
          <w:szCs w:val="20"/>
        </w:rPr>
        <w:t xml:space="preserve">pecial </w:t>
      </w:r>
      <w:r>
        <w:rPr>
          <w:rFonts w:cs="Arial"/>
          <w:color w:val="000000"/>
          <w:szCs w:val="20"/>
        </w:rPr>
        <w:t>P</w:t>
      </w:r>
      <w:r w:rsidRPr="00A52794">
        <w:rPr>
          <w:rFonts w:cs="Arial"/>
          <w:color w:val="000000"/>
          <w:szCs w:val="20"/>
        </w:rPr>
        <w:t xml:space="preserve">rovision, No. 10 Screenings </w:t>
      </w:r>
      <w:r w:rsidRPr="00A52794">
        <w:rPr>
          <w:rFonts w:cs="Arial"/>
          <w:color w:val="000000"/>
          <w:szCs w:val="20"/>
        </w:rPr>
        <w:t>shall be defined</w:t>
      </w:r>
      <w:r w:rsidRPr="00A52794">
        <w:rPr>
          <w:rFonts w:cs="Arial"/>
          <w:color w:val="000000"/>
          <w:szCs w:val="20"/>
        </w:rPr>
        <w:t xml:space="preserve"> as any material that is a byproduct of rock crushing processes,</w:t>
      </w:r>
      <w:r>
        <w:rPr>
          <w:rFonts w:cs="Arial"/>
          <w:color w:val="000000"/>
          <w:szCs w:val="20"/>
        </w:rPr>
        <w:t xml:space="preserve"> and either</w:t>
      </w:r>
      <w:r w:rsidRPr="00A52794">
        <w:rPr>
          <w:rFonts w:cs="Arial"/>
          <w:color w:val="000000"/>
          <w:szCs w:val="20"/>
        </w:rPr>
        <w:t xml:space="preserve"> ha</w:t>
      </w:r>
      <w:r>
        <w:rPr>
          <w:rFonts w:cs="Arial"/>
          <w:color w:val="000000"/>
          <w:szCs w:val="20"/>
        </w:rPr>
        <w:t>s</w:t>
      </w:r>
      <w:r w:rsidRPr="00A52794">
        <w:rPr>
          <w:rFonts w:cs="Arial"/>
          <w:color w:val="000000"/>
          <w:szCs w:val="20"/>
        </w:rPr>
        <w:t xml:space="preserve"> </w:t>
      </w:r>
      <w:r>
        <w:rPr>
          <w:rFonts w:cs="Arial"/>
          <w:color w:val="000000"/>
          <w:szCs w:val="20"/>
        </w:rPr>
        <w:t xml:space="preserve">a gradation of </w:t>
      </w:r>
      <w:r w:rsidRPr="00A52794">
        <w:rPr>
          <w:rFonts w:cs="Arial"/>
          <w:color w:val="000000"/>
          <w:szCs w:val="20"/>
        </w:rPr>
        <w:t>100% passing the 3/8” Sieve and less than 20% passing the No. 200 Sieve</w:t>
      </w:r>
      <w:r>
        <w:rPr>
          <w:rFonts w:cs="Arial"/>
          <w:color w:val="000000"/>
          <w:szCs w:val="20"/>
        </w:rPr>
        <w:t>, or meets the No. 10 coarse aggregate gradation</w:t>
      </w:r>
      <w:r w:rsidRPr="00A52794">
        <w:rPr>
          <w:rFonts w:cs="Arial"/>
          <w:color w:val="000000"/>
          <w:szCs w:val="20"/>
        </w:rPr>
        <w:t>.  No. 10 Screenings shall also have a minimum CBR value of 15 and be either non-plastic or have liquid limit less than 25 and a plasticity index less than 9.</w:t>
      </w:r>
    </w:p>
    <w:p w:rsidR="00913BAF" w:rsidRPr="00A52794" w:rsidP="00913BAF" w14:paraId="6A87ADB0" w14:textId="77777777">
      <w:pPr>
        <w:pStyle w:val="ListParagraph"/>
        <w:numPr>
          <w:ilvl w:val="1"/>
          <w:numId w:val="2"/>
        </w:numPr>
        <w:autoSpaceDE w:val="0"/>
        <w:autoSpaceDN w:val="0"/>
        <w:adjustRightInd w:val="0"/>
        <w:spacing w:line="240" w:lineRule="auto"/>
        <w:contextualSpacing w:val="0"/>
        <w:jc w:val="both"/>
        <w:rPr>
          <w:rFonts w:cs="Arial"/>
          <w:color w:val="000000"/>
          <w:szCs w:val="20"/>
        </w:rPr>
      </w:pPr>
      <w:r>
        <w:rPr>
          <w:rFonts w:cs="Arial"/>
          <w:b/>
          <w:color w:val="000000"/>
          <w:szCs w:val="20"/>
        </w:rPr>
        <w:t>Low-plasticity clay or silt</w:t>
      </w:r>
      <w:r>
        <w:rPr>
          <w:rFonts w:cs="Arial"/>
          <w:color w:val="000000"/>
          <w:szCs w:val="20"/>
        </w:rPr>
        <w:t xml:space="preserve"> shall conform to classification CL or ML according to ASTM D2487.</w:t>
      </w:r>
    </w:p>
    <w:p w:rsidR="00913BAF" w:rsidRPr="00947C9E" w:rsidP="00913BAF" w14:paraId="721F1DB7" w14:textId="77777777">
      <w:pPr>
        <w:pStyle w:val="ListParagraph"/>
        <w:numPr>
          <w:ilvl w:val="0"/>
          <w:numId w:val="2"/>
        </w:numPr>
        <w:spacing w:line="240" w:lineRule="auto"/>
        <w:contextualSpacing w:val="0"/>
        <w:rPr>
          <w:rFonts w:cs="Arial"/>
          <w:color w:val="000000"/>
          <w:szCs w:val="20"/>
        </w:rPr>
      </w:pPr>
      <w:r w:rsidRPr="00947C9E">
        <w:rPr>
          <w:rFonts w:cs="Arial"/>
          <w:b/>
          <w:color w:val="000000"/>
          <w:szCs w:val="20"/>
        </w:rPr>
        <w:t>PROCEDURES</w:t>
      </w:r>
    </w:p>
    <w:p w:rsidR="00913BAF" w:rsidRPr="00947C9E" w:rsidP="00913BAF" w14:paraId="2EC3DB16" w14:textId="77777777">
      <w:pPr>
        <w:pStyle w:val="ListParagraph"/>
        <w:numPr>
          <w:ilvl w:val="1"/>
          <w:numId w:val="2"/>
        </w:numPr>
        <w:spacing w:line="240" w:lineRule="auto"/>
        <w:jc w:val="both"/>
        <w:rPr>
          <w:rFonts w:cs="Arial"/>
          <w:b/>
          <w:color w:val="000000"/>
          <w:szCs w:val="20"/>
        </w:rPr>
      </w:pPr>
      <w:r w:rsidRPr="00947C9E">
        <w:rPr>
          <w:rFonts w:cs="Arial"/>
          <w:b/>
          <w:color w:val="000000"/>
          <w:szCs w:val="20"/>
        </w:rPr>
        <w:t xml:space="preserve">Embankment </w:t>
      </w:r>
    </w:p>
    <w:p w:rsidR="00913BAF" w:rsidP="00913BAF" w14:paraId="2AB89A29" w14:textId="77777777">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shall be compacted to 95% of Standard Proctor dry density,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w:t>
      </w:r>
      <w:r w:rsidRPr="00606F01">
        <w:rPr>
          <w:rFonts w:cs="Arial"/>
          <w:color w:val="000000"/>
          <w:szCs w:val="20"/>
        </w:rPr>
        <w:t>laboratory</w:t>
      </w:r>
      <w:r w:rsidRPr="00606F01">
        <w:rPr>
          <w:rFonts w:cs="Arial"/>
          <w:color w:val="000000"/>
          <w:szCs w:val="20"/>
        </w:rPr>
        <w:t xml:space="preserve"> optimum water contents greater than 9%, a field optimum water content target of 8.5% sh</w:t>
      </w:r>
      <w:r>
        <w:rPr>
          <w:rFonts w:cs="Arial"/>
          <w:color w:val="000000"/>
          <w:szCs w:val="20"/>
        </w:rPr>
        <w:t>a</w:t>
      </w:r>
      <w:r w:rsidRPr="00606F01">
        <w:rPr>
          <w:rFonts w:cs="Arial"/>
          <w:color w:val="000000"/>
          <w:szCs w:val="20"/>
        </w:rPr>
        <w:t>l</w:t>
      </w:r>
      <w:r>
        <w:rPr>
          <w:rFonts w:cs="Arial"/>
          <w:color w:val="000000"/>
          <w:szCs w:val="20"/>
        </w:rPr>
        <w:t>l</w:t>
      </w:r>
      <w:r w:rsidRPr="00606F01">
        <w:rPr>
          <w:rFonts w:cs="Arial"/>
          <w:color w:val="000000"/>
          <w:szCs w:val="20"/>
        </w:rPr>
        <w:t xml:space="preserve"> be used.  Both dry density and optimum water content </w:t>
      </w:r>
      <w:r w:rsidRPr="00606F01">
        <w:rPr>
          <w:rFonts w:cs="Arial"/>
          <w:color w:val="000000"/>
          <w:szCs w:val="20"/>
        </w:rPr>
        <w:t>shall be obtained</w:t>
      </w:r>
      <w:r w:rsidRPr="00606F01">
        <w:rPr>
          <w:rFonts w:cs="Arial"/>
          <w:color w:val="000000"/>
          <w:szCs w:val="20"/>
        </w:rPr>
        <w:t xml:space="preserve"> </w:t>
      </w:r>
      <w:r>
        <w:rPr>
          <w:rFonts w:cs="Arial"/>
          <w:color w:val="000000"/>
          <w:szCs w:val="20"/>
        </w:rPr>
        <w:t>according to</w:t>
      </w:r>
      <w:r w:rsidRPr="00606F01">
        <w:rPr>
          <w:rFonts w:cs="Arial"/>
          <w:color w:val="000000"/>
          <w:szCs w:val="20"/>
        </w:rPr>
        <w:t xml:space="preserve"> VTM-1.</w:t>
      </w:r>
    </w:p>
    <w:p w:rsidR="00913BAF" w:rsidP="00913BAF" w14:paraId="06FECF18" w14:textId="77777777">
      <w:pPr>
        <w:autoSpaceDE w:val="0"/>
        <w:autoSpaceDN w:val="0"/>
        <w:adjustRightInd w:val="0"/>
        <w:spacing w:line="240" w:lineRule="auto"/>
        <w:ind w:left="720"/>
        <w:jc w:val="both"/>
        <w:rPr>
          <w:rFonts w:eastAsia="Calibri" w:cs="Arial"/>
          <w:color w:val="000000"/>
          <w:szCs w:val="20"/>
        </w:rPr>
      </w:pPr>
      <w:r w:rsidRPr="00606F01">
        <w:rPr>
          <w:rFonts w:eastAsia="Calibri" w:cs="Arial"/>
          <w:color w:val="000000"/>
          <w:szCs w:val="20"/>
        </w:rPr>
        <w:t>When landscaping is required in areas of No. 10 Screenings use, the Contractor shall make accommodations for landscaping as trees and larger shrubs will not be able to root properly in No. 10 Screenings.</w:t>
      </w:r>
    </w:p>
    <w:p w:rsidR="00913BAF" w:rsidP="00913BAF" w14:paraId="785B8808" w14:textId="77777777">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 xml:space="preserve">The top and sides of unconfined areas consisting solely of No. 10 Screenings </w:t>
      </w:r>
      <w:r w:rsidRPr="00606F01">
        <w:rPr>
          <w:rFonts w:eastAsia="Calibri" w:cs="Arial"/>
          <w:color w:val="000000"/>
          <w:szCs w:val="20"/>
        </w:rPr>
        <w:t>shall be capped</w:t>
      </w:r>
      <w:r w:rsidRPr="00606F01">
        <w:rPr>
          <w:rFonts w:eastAsia="Calibri" w:cs="Arial"/>
          <w:color w:val="000000"/>
          <w:szCs w:val="20"/>
        </w:rPr>
        <w:t xml:space="preserve"> with low-plasticity clay or silt material to deter water from penetrating into and saturating embankments constructed of No. 10 Screenings.  Fills less than 10 feet in height </w:t>
      </w:r>
      <w:r w:rsidRPr="00606F01">
        <w:rPr>
          <w:rFonts w:eastAsia="Calibri" w:cs="Arial"/>
          <w:color w:val="000000"/>
          <w:szCs w:val="20"/>
        </w:rPr>
        <w:t>shall be capped</w:t>
      </w:r>
      <w:r w:rsidRPr="00606F01">
        <w:rPr>
          <w:rFonts w:eastAsia="Calibri" w:cs="Arial"/>
          <w:color w:val="000000"/>
          <w:szCs w:val="20"/>
        </w:rPr>
        <w:t xml:space="preserve"> on the sides and top with a minimum 2 feet of low-plasticity clay or silt</w:t>
      </w:r>
      <w:r>
        <w:rPr>
          <w:rFonts w:eastAsia="Calibri" w:cs="Arial"/>
          <w:color w:val="000000"/>
          <w:szCs w:val="20"/>
        </w:rPr>
        <w:t>.</w:t>
      </w:r>
      <w:r w:rsidRPr="00606F01">
        <w:rPr>
          <w:rFonts w:eastAsia="Calibri" w:cs="Arial"/>
          <w:color w:val="000000"/>
          <w:szCs w:val="20"/>
        </w:rPr>
        <w:t xml:space="preserve"> At a minimum, fills greater than 10 feet in height </w:t>
      </w:r>
      <w:r w:rsidRPr="00606F01">
        <w:rPr>
          <w:rFonts w:eastAsia="Calibri" w:cs="Arial"/>
          <w:color w:val="000000"/>
          <w:szCs w:val="20"/>
        </w:rPr>
        <w:t>shall be capped</w:t>
      </w:r>
      <w:r w:rsidRPr="00606F01">
        <w:rPr>
          <w:rFonts w:eastAsia="Calibri" w:cs="Arial"/>
          <w:color w:val="000000"/>
          <w:szCs w:val="20"/>
        </w:rPr>
        <w:t xml:space="preserve"> with 3 feet of low-plasticity clay or silt.</w:t>
      </w:r>
    </w:p>
    <w:p w:rsidR="00913BAF" w:rsidRPr="00A36483" w:rsidP="00913BAF" w14:paraId="6A7EA393" w14:textId="77777777">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 xml:space="preserve">In low-lying areas, drainage areas or areas identified as active or potential wet zones during construction, a separation layer between the bottom of the placed fill and original ground </w:t>
      </w:r>
      <w:r w:rsidRPr="00606F01">
        <w:rPr>
          <w:rFonts w:eastAsia="Calibri" w:cs="Arial"/>
          <w:color w:val="000000"/>
          <w:szCs w:val="20"/>
        </w:rPr>
        <w:t>shall be placed</w:t>
      </w:r>
      <w:r w:rsidRPr="00606F01">
        <w:rPr>
          <w:rFonts w:eastAsia="Calibri" w:cs="Arial"/>
          <w:color w:val="000000"/>
          <w:szCs w:val="20"/>
        </w:rPr>
        <w:t xml:space="preserve"> to mitigate the potential destabilization of a No. 10 Screenings embankment.  The separation layer should be at least 8-inches thick and composed of No. 1 or No. 57 aggregate or </w:t>
      </w:r>
      <w:r w:rsidRPr="00606F01">
        <w:rPr>
          <w:rFonts w:eastAsia="Calibri" w:cs="Arial"/>
          <w:color w:val="000000"/>
          <w:szCs w:val="20"/>
        </w:rPr>
        <w:t>another open graded aggregate wrapped in drainage fabric.  Riprap bedding fabric meeting the requirements of Section 245</w:t>
      </w:r>
      <w:r>
        <w:rPr>
          <w:rFonts w:eastAsia="Calibri" w:cs="Arial"/>
          <w:color w:val="000000"/>
          <w:szCs w:val="20"/>
        </w:rPr>
        <w:t xml:space="preserve"> of the Specifications</w:t>
      </w:r>
      <w:r w:rsidRPr="00606F01">
        <w:rPr>
          <w:rFonts w:eastAsia="Calibri" w:cs="Arial"/>
          <w:color w:val="000000"/>
          <w:szCs w:val="20"/>
        </w:rPr>
        <w:t xml:space="preserve"> </w:t>
      </w:r>
      <w:r w:rsidRPr="00606F01">
        <w:rPr>
          <w:rFonts w:eastAsia="Calibri" w:cs="Arial"/>
          <w:color w:val="000000"/>
          <w:szCs w:val="20"/>
        </w:rPr>
        <w:t>shall be placed</w:t>
      </w:r>
      <w:r w:rsidRPr="00606F01">
        <w:rPr>
          <w:rFonts w:eastAsia="Calibri" w:cs="Arial"/>
          <w:color w:val="000000"/>
          <w:szCs w:val="20"/>
        </w:rPr>
        <w:t xml:space="preserve"> between the separation layer and the No. 10 Screenings.</w:t>
      </w:r>
    </w:p>
    <w:p w:rsidR="00913BAF" w:rsidRPr="00606F01" w:rsidP="00913BAF" w14:paraId="1756243C" w14:textId="77777777">
      <w:pPr>
        <w:spacing w:line="240" w:lineRule="auto"/>
        <w:ind w:left="720"/>
        <w:jc w:val="both"/>
        <w:rPr>
          <w:rFonts w:eastAsia="Calibri" w:cs="Arial"/>
          <w:color w:val="000000"/>
          <w:szCs w:val="20"/>
        </w:rPr>
      </w:pPr>
      <w:r w:rsidRPr="00606F01">
        <w:rPr>
          <w:rFonts w:eastAsia="Calibri" w:cs="Arial"/>
          <w:color w:val="000000"/>
          <w:szCs w:val="20"/>
        </w:rPr>
        <w:t>If an embankment greater than 10 feet in height is constructed, survey points shall be taken after the fill is complete at bi-weekly intervals</w:t>
      </w:r>
      <w:r>
        <w:rPr>
          <w:rFonts w:eastAsia="Calibri" w:cs="Arial"/>
          <w:color w:val="000000"/>
          <w:szCs w:val="20"/>
        </w:rPr>
        <w:t xml:space="preserve"> until </w:t>
      </w:r>
      <w:r>
        <w:rPr>
          <w:rFonts w:eastAsia="Calibri" w:cs="Arial"/>
          <w:color w:val="000000"/>
          <w:szCs w:val="20"/>
        </w:rPr>
        <w:t>2</w:t>
      </w:r>
      <w:r>
        <w:rPr>
          <w:rFonts w:eastAsia="Calibri" w:cs="Arial"/>
          <w:color w:val="000000"/>
          <w:szCs w:val="20"/>
        </w:rPr>
        <w:t xml:space="preserve"> consecutive measurements are each less than ¼ inch</w:t>
      </w:r>
      <w:r w:rsidRPr="00606F01">
        <w:rPr>
          <w:rFonts w:eastAsia="Calibri" w:cs="Arial"/>
          <w:color w:val="000000"/>
          <w:szCs w:val="20"/>
        </w:rPr>
        <w:t xml:space="preserve"> to ensure that settlement is not occurring.  If settlement issues are identified, the Contractor or Design-Builder shall mitigate the causes of settlement as needed (e.g., additional asphalt, ground improvement techniques, removing and replacing settled locations if isolated, etc.)</w:t>
      </w:r>
      <w:r w:rsidRPr="00606F01">
        <w:rPr>
          <w:rFonts w:eastAsia="Calibri" w:cs="Arial"/>
          <w:color w:val="000000"/>
          <w:szCs w:val="20"/>
        </w:rPr>
        <w:t>.</w:t>
      </w:r>
    </w:p>
    <w:p w:rsidR="00913BAF" w:rsidRPr="00523B96" w:rsidP="00913BAF" w14:paraId="5EB8BF80" w14:textId="77777777">
      <w:pPr>
        <w:pStyle w:val="ListParagraph"/>
        <w:numPr>
          <w:ilvl w:val="1"/>
          <w:numId w:val="2"/>
        </w:numPr>
        <w:spacing w:line="240" w:lineRule="auto"/>
        <w:rPr>
          <w:rFonts w:cs="Arial"/>
          <w:b/>
          <w:color w:val="000000"/>
          <w:szCs w:val="20"/>
        </w:rPr>
      </w:pPr>
      <w:r w:rsidRPr="00523B96">
        <w:rPr>
          <w:rFonts w:cs="Arial"/>
          <w:b/>
          <w:color w:val="000000"/>
          <w:szCs w:val="20"/>
        </w:rPr>
        <w:t>Structure backfill, building foundation soil,  road subgrade, undercut replacement, fill under approach slabs</w:t>
      </w:r>
    </w:p>
    <w:p w:rsidR="00913BAF" w:rsidRPr="00606F01" w:rsidP="00913BAF" w14:paraId="70978A0F" w14:textId="77777777">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used for these purposes shall have a CBR of at least 30, shall be compacted to 95% of Standard Proctor dry density (100% under approach fills),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w:t>
      </w:r>
      <w:r w:rsidRPr="00606F01">
        <w:rPr>
          <w:rFonts w:cs="Arial"/>
          <w:color w:val="000000"/>
          <w:szCs w:val="20"/>
        </w:rPr>
        <w:t>laboratory</w:t>
      </w:r>
      <w:r w:rsidRPr="00606F01">
        <w:rPr>
          <w:rFonts w:cs="Arial"/>
          <w:color w:val="000000"/>
          <w:szCs w:val="20"/>
        </w:rPr>
        <w:t xml:space="preserve"> optimum water contents greater than 9%, a field optimum water content target of 8.5% should be used.  Both dry density and optimum water content </w:t>
      </w:r>
      <w:r w:rsidRPr="00606F01">
        <w:rPr>
          <w:rFonts w:cs="Arial"/>
          <w:color w:val="000000"/>
          <w:szCs w:val="20"/>
        </w:rPr>
        <w:t>shall be obtained</w:t>
      </w:r>
      <w:r w:rsidRPr="00606F01">
        <w:rPr>
          <w:rFonts w:cs="Arial"/>
          <w:color w:val="000000"/>
          <w:szCs w:val="20"/>
        </w:rPr>
        <w:t xml:space="preserve"> using VTM-1.</w:t>
      </w:r>
    </w:p>
    <w:p w:rsidR="00913BAF" w:rsidRPr="00606F01" w:rsidP="00913BAF" w14:paraId="00984542" w14:textId="77777777">
      <w:pPr>
        <w:spacing w:line="240" w:lineRule="auto"/>
        <w:ind w:left="720"/>
        <w:jc w:val="both"/>
        <w:rPr>
          <w:rFonts w:eastAsia="Calibri" w:cs="Arial"/>
          <w:color w:val="000000"/>
          <w:szCs w:val="20"/>
        </w:rPr>
      </w:pPr>
      <w:r w:rsidRPr="00606F01">
        <w:rPr>
          <w:rFonts w:eastAsia="Calibri" w:cs="Arial"/>
          <w:color w:val="000000"/>
          <w:szCs w:val="20"/>
        </w:rPr>
        <w:t xml:space="preserve">These applications should typically be in confined areas.  Where there is no confinement, capping of the unconfined sides shall be as in Paragraph </w:t>
      </w:r>
      <w:r>
        <w:rPr>
          <w:rFonts w:eastAsia="Calibri" w:cs="Arial"/>
          <w:color w:val="000000"/>
          <w:szCs w:val="20"/>
        </w:rPr>
        <w:t>1</w:t>
      </w:r>
      <w:r w:rsidRPr="00606F01">
        <w:rPr>
          <w:rFonts w:eastAsia="Calibri" w:cs="Arial"/>
          <w:color w:val="000000"/>
          <w:szCs w:val="20"/>
        </w:rPr>
        <w:t xml:space="preserve"> above.</w:t>
      </w:r>
    </w:p>
    <w:p w:rsidR="00913BAF" w:rsidRPr="00606F01" w:rsidP="00913BAF" w14:paraId="6CA5A65A" w14:textId="77777777">
      <w:pPr>
        <w:spacing w:line="240" w:lineRule="auto"/>
        <w:ind w:left="720"/>
        <w:jc w:val="both"/>
        <w:rPr>
          <w:rFonts w:eastAsia="Calibri" w:cs="Arial"/>
          <w:color w:val="000000"/>
          <w:szCs w:val="20"/>
        </w:rPr>
      </w:pPr>
      <w:r w:rsidRPr="00606F01">
        <w:rPr>
          <w:rFonts w:eastAsia="Calibri" w:cs="Arial"/>
          <w:color w:val="000000"/>
          <w:szCs w:val="20"/>
        </w:rPr>
        <w:t xml:space="preserve">In low-lying areas, drainage areas or areas identified as active or potential wet zones during construction, the No. 10 Screenings </w:t>
      </w:r>
      <w:r w:rsidRPr="00606F01">
        <w:rPr>
          <w:rFonts w:eastAsia="Calibri" w:cs="Arial"/>
          <w:color w:val="000000"/>
          <w:szCs w:val="20"/>
        </w:rPr>
        <w:t>shall be wrapped</w:t>
      </w:r>
      <w:r w:rsidRPr="00606F01">
        <w:rPr>
          <w:rFonts w:eastAsia="Calibri" w:cs="Arial"/>
          <w:color w:val="000000"/>
          <w:szCs w:val="20"/>
        </w:rPr>
        <w:t xml:space="preserve"> in drainage fabric.</w:t>
      </w:r>
    </w:p>
    <w:p w:rsidR="00913BAF" w:rsidRPr="00523B96" w:rsidP="00913BAF" w14:paraId="29EBBF70" w14:textId="77777777">
      <w:pPr>
        <w:pStyle w:val="ListParagraph"/>
        <w:numPr>
          <w:ilvl w:val="1"/>
          <w:numId w:val="2"/>
        </w:numPr>
        <w:spacing w:line="240" w:lineRule="auto"/>
        <w:rPr>
          <w:rFonts w:cs="Arial"/>
          <w:b/>
          <w:color w:val="000000"/>
          <w:szCs w:val="20"/>
        </w:rPr>
      </w:pPr>
      <w:r w:rsidRPr="00523B96">
        <w:rPr>
          <w:rFonts w:cs="Arial"/>
          <w:b/>
          <w:color w:val="000000"/>
          <w:szCs w:val="20"/>
        </w:rPr>
        <w:t>Pipe Backfill</w:t>
      </w:r>
    </w:p>
    <w:p w:rsidR="00913BAF" w:rsidRPr="00606F01" w:rsidP="00913BAF" w14:paraId="541BEA8D" w14:textId="77777777">
      <w:pPr>
        <w:spacing w:line="240" w:lineRule="auto"/>
        <w:ind w:left="720"/>
        <w:jc w:val="both"/>
        <w:rPr>
          <w:rFonts w:cs="Arial"/>
          <w:szCs w:val="20"/>
        </w:rPr>
      </w:pPr>
      <w:r w:rsidRPr="00606F01">
        <w:rPr>
          <w:rFonts w:cs="Arial"/>
          <w:szCs w:val="20"/>
        </w:rPr>
        <w:t xml:space="preserve">Pipe backfill shall be performed in accordance with Standard </w:t>
      </w:r>
      <w:r>
        <w:rPr>
          <w:rFonts w:cs="Arial"/>
          <w:szCs w:val="20"/>
        </w:rPr>
        <w:t>Drawing PB-1 and Section 302.03(a</w:t>
      </w:r>
      <w:r>
        <w:rPr>
          <w:rFonts w:cs="Arial"/>
          <w:szCs w:val="20"/>
        </w:rPr>
        <w:t>)</w:t>
      </w:r>
      <w:r w:rsidRPr="00606F01">
        <w:rPr>
          <w:rFonts w:cs="Arial"/>
          <w:szCs w:val="20"/>
        </w:rPr>
        <w:t>2g</w:t>
      </w:r>
      <w:r w:rsidRPr="00606F01">
        <w:rPr>
          <w:rFonts w:cs="Arial"/>
          <w:szCs w:val="20"/>
        </w:rPr>
        <w:t xml:space="preserve"> of the Specifications unless noted herein. </w:t>
      </w:r>
      <w:r>
        <w:rPr>
          <w:rFonts w:cs="Arial"/>
          <w:szCs w:val="20"/>
        </w:rPr>
        <w:t xml:space="preserve">No. 10 Screening </w:t>
      </w:r>
      <w:r>
        <w:rPr>
          <w:rFonts w:cs="Arial"/>
          <w:szCs w:val="20"/>
        </w:rPr>
        <w:t>may be used</w:t>
      </w:r>
      <w:r>
        <w:rPr>
          <w:rFonts w:cs="Arial"/>
          <w:szCs w:val="20"/>
        </w:rPr>
        <w:t xml:space="preserve"> as either Regular Backfill or Class I Backfill, as shown in Standard Drawing PB-1. </w:t>
      </w:r>
      <w:r w:rsidRPr="00606F01">
        <w:rPr>
          <w:rFonts w:cs="Arial"/>
          <w:szCs w:val="20"/>
        </w:rPr>
        <w:t xml:space="preserve">Regular Backfill material within the limits of roadway embankments and under existing or proposed roadway shall meet a minimum CBR value of 15.0 as determined by VTM-8.  Ground line </w:t>
      </w:r>
      <w:r w:rsidRPr="00606F01">
        <w:rPr>
          <w:rFonts w:cs="Arial"/>
          <w:szCs w:val="20"/>
        </w:rPr>
        <w:t>shall be considered</w:t>
      </w:r>
      <w:r w:rsidRPr="00606F01">
        <w:rPr>
          <w:rFonts w:cs="Arial"/>
          <w:szCs w:val="20"/>
        </w:rPr>
        <w:t xml:space="preserve"> the top of trench at the time of pipe installation.  When pipe does not project above ground line, Regular Backfill shall extend to the top of the pipe trench in fills or subgrade in cuts.</w:t>
      </w:r>
      <w:r w:rsidRPr="00606F01">
        <w:rPr>
          <w:rFonts w:cs="Arial"/>
          <w:spacing w:val="-3"/>
          <w:szCs w:val="20"/>
        </w:rPr>
        <w:t xml:space="preserve">  Outlet pipes for storm water management basins </w:t>
      </w:r>
      <w:r w:rsidRPr="00606F01">
        <w:rPr>
          <w:rFonts w:cs="Arial"/>
          <w:spacing w:val="-3"/>
          <w:szCs w:val="20"/>
        </w:rPr>
        <w:t>shall be installed</w:t>
      </w:r>
      <w:r w:rsidRPr="00606F01">
        <w:rPr>
          <w:rFonts w:cs="Arial"/>
          <w:spacing w:val="-3"/>
          <w:szCs w:val="20"/>
        </w:rPr>
        <w:t xml:space="preserve"> as noted on the plans.  </w:t>
      </w:r>
      <w:r w:rsidRPr="00606F01">
        <w:rPr>
          <w:rFonts w:cs="Arial"/>
          <w:szCs w:val="20"/>
        </w:rPr>
        <w:t>The cost of furnishing, placing and compacting the Regular Backfill and disposing of unsuitable material excavated from the trench shall be included in the price of the pipe and will not be measured and for separate payment.</w:t>
      </w:r>
    </w:p>
    <w:p w:rsidR="00913BAF" w:rsidRPr="00EB73CD" w:rsidP="00913BAF" w14:paraId="4E020C46" w14:textId="77777777">
      <w:pPr>
        <w:pStyle w:val="ListParagraph"/>
        <w:numPr>
          <w:ilvl w:val="1"/>
          <w:numId w:val="2"/>
        </w:numPr>
        <w:spacing w:line="240" w:lineRule="auto"/>
        <w:contextualSpacing w:val="0"/>
        <w:rPr>
          <w:rFonts w:cs="Arial"/>
          <w:b/>
          <w:color w:val="000000"/>
          <w:szCs w:val="20"/>
        </w:rPr>
      </w:pPr>
      <w:r w:rsidRPr="00EB73CD">
        <w:rPr>
          <w:rFonts w:cs="Arial"/>
          <w:b/>
          <w:color w:val="000000"/>
          <w:szCs w:val="20"/>
        </w:rPr>
        <w:t>Reinforced Fill for Mechanically Stabilized Earth Walls</w:t>
      </w:r>
    </w:p>
    <w:p w:rsidR="00913BAF" w:rsidRPr="00606F01" w:rsidP="00913BAF" w14:paraId="3F9DA63B" w14:textId="77777777">
      <w:pPr>
        <w:pStyle w:val="ListParagraph"/>
        <w:autoSpaceDE w:val="0"/>
        <w:autoSpaceDN w:val="0"/>
        <w:adjustRightInd w:val="0"/>
        <w:spacing w:line="240" w:lineRule="auto"/>
        <w:contextualSpacing w:val="0"/>
        <w:jc w:val="both"/>
        <w:rPr>
          <w:rFonts w:cs="Arial"/>
          <w:color w:val="000000"/>
          <w:szCs w:val="20"/>
        </w:rPr>
      </w:pPr>
      <w:r w:rsidRPr="00606F01">
        <w:rPr>
          <w:rFonts w:cs="Arial"/>
          <w:color w:val="000000"/>
          <w:szCs w:val="20"/>
        </w:rPr>
        <w:t xml:space="preserve">No. 10 Screenings used for these purposes shall have a friction angle of at least 34 degrees, with </w:t>
      </w:r>
      <w:r>
        <w:rPr>
          <w:rFonts w:cs="Arial"/>
          <w:color w:val="000000"/>
          <w:szCs w:val="20"/>
        </w:rPr>
        <w:t>up to 60%</w:t>
      </w:r>
      <w:r w:rsidRPr="00606F01">
        <w:rPr>
          <w:rFonts w:cs="Arial"/>
          <w:color w:val="000000"/>
          <w:szCs w:val="20"/>
        </w:rPr>
        <w:t xml:space="preserve"> passing the No. 40 sieve.  They shall be compacted to 95% of Standard Proctor dry density, and shall be compacted in the field within </w:t>
      </w:r>
      <w:r>
        <w:rPr>
          <w:rFonts w:cs="Arial"/>
          <w:color w:val="000000"/>
          <w:szCs w:val="20"/>
        </w:rPr>
        <w:t xml:space="preserve">a </w:t>
      </w:r>
      <w:r w:rsidRPr="00606F01">
        <w:rPr>
          <w:rFonts w:cs="Arial"/>
          <w:color w:val="000000"/>
          <w:szCs w:val="20"/>
        </w:rPr>
        <w:t xml:space="preserve">water content range of 2 percentage points either side of the optimum water content. For </w:t>
      </w:r>
      <w:r w:rsidRPr="00606F01">
        <w:rPr>
          <w:rFonts w:cs="Arial"/>
          <w:color w:val="000000"/>
          <w:szCs w:val="20"/>
        </w:rPr>
        <w:t>laboratory</w:t>
      </w:r>
      <w:r w:rsidRPr="00606F01">
        <w:rPr>
          <w:rFonts w:cs="Arial"/>
          <w:color w:val="000000"/>
          <w:szCs w:val="20"/>
        </w:rPr>
        <w:t xml:space="preserve"> optimum water contents greater than 9%, a field optimum water content target of 8.5% should be used.  Both dry density and optimum water content </w:t>
      </w:r>
      <w:r w:rsidRPr="00606F01">
        <w:rPr>
          <w:rFonts w:cs="Arial"/>
          <w:color w:val="000000"/>
          <w:szCs w:val="20"/>
        </w:rPr>
        <w:t>shall be obtained</w:t>
      </w:r>
      <w:r w:rsidRPr="00606F01">
        <w:rPr>
          <w:rFonts w:cs="Arial"/>
          <w:color w:val="000000"/>
          <w:szCs w:val="20"/>
        </w:rPr>
        <w:t xml:space="preserve"> using VTM-1.</w:t>
      </w:r>
      <w:r>
        <w:rPr>
          <w:rFonts w:cs="Arial"/>
          <w:color w:val="000000"/>
          <w:szCs w:val="20"/>
        </w:rPr>
        <w:t xml:space="preserve">  If the use of No. 10 Screenings conflicts with any other Contract requirement for reinforced fill for MSE walls, No. 10 Screenings </w:t>
      </w:r>
      <w:r>
        <w:rPr>
          <w:rFonts w:cs="Arial"/>
          <w:color w:val="000000"/>
          <w:szCs w:val="20"/>
        </w:rPr>
        <w:t>shall not be used</w:t>
      </w:r>
      <w:r>
        <w:rPr>
          <w:rFonts w:cs="Arial"/>
          <w:color w:val="000000"/>
          <w:szCs w:val="20"/>
        </w:rPr>
        <w:t xml:space="preserve"> for this purpose.</w:t>
      </w:r>
    </w:p>
    <w:p w:rsidR="00913BAF" w:rsidRPr="00EB73CD" w:rsidP="00913BAF" w14:paraId="1DFF063E" w14:textId="77777777">
      <w:pPr>
        <w:pStyle w:val="ListParagraph"/>
        <w:numPr>
          <w:ilvl w:val="1"/>
          <w:numId w:val="2"/>
        </w:numPr>
        <w:spacing w:line="240" w:lineRule="auto"/>
        <w:rPr>
          <w:rFonts w:cs="Arial"/>
          <w:b/>
          <w:color w:val="000000"/>
          <w:szCs w:val="20"/>
        </w:rPr>
      </w:pPr>
      <w:r w:rsidRPr="00EB73CD">
        <w:rPr>
          <w:rFonts w:cs="Arial"/>
          <w:b/>
          <w:color w:val="000000"/>
          <w:szCs w:val="20"/>
        </w:rPr>
        <w:t>Soft ground stabilization</w:t>
      </w:r>
    </w:p>
    <w:p w:rsidR="00913BAF" w:rsidRPr="00606F01" w:rsidP="00913BAF" w14:paraId="5B9F4613" w14:textId="77777777">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w:t>
      </w:r>
      <w:r w:rsidRPr="00606F01">
        <w:rPr>
          <w:rFonts w:cs="Arial"/>
          <w:color w:val="000000"/>
          <w:szCs w:val="20"/>
        </w:rPr>
        <w:t>may be used</w:t>
      </w:r>
      <w:r w:rsidRPr="00606F01">
        <w:rPr>
          <w:rFonts w:cs="Arial"/>
          <w:color w:val="000000"/>
          <w:szCs w:val="20"/>
        </w:rPr>
        <w:t xml:space="preserve"> as a </w:t>
      </w:r>
      <w:r>
        <w:rPr>
          <w:rFonts w:cs="Arial"/>
          <w:color w:val="000000"/>
          <w:szCs w:val="20"/>
        </w:rPr>
        <w:t xml:space="preserve">replacement or </w:t>
      </w:r>
      <w:r w:rsidRPr="00606F01">
        <w:rPr>
          <w:rFonts w:cs="Arial"/>
          <w:color w:val="000000"/>
          <w:szCs w:val="20"/>
        </w:rPr>
        <w:t xml:space="preserve">stabilizing agent for soft or unsuitable soils in parking areas, under building pads or foundations, or under roadways.  In the event soft or unsuitable soils are identified, No. 10 Screenings may </w:t>
      </w:r>
      <w:r>
        <w:rPr>
          <w:rFonts w:cs="Arial"/>
          <w:color w:val="000000"/>
          <w:szCs w:val="20"/>
        </w:rPr>
        <w:t xml:space="preserve">replace or </w:t>
      </w:r>
      <w:r w:rsidRPr="00606F01">
        <w:rPr>
          <w:rFonts w:cs="Arial"/>
          <w:color w:val="000000"/>
          <w:szCs w:val="20"/>
        </w:rPr>
        <w:t xml:space="preserve">be mixed into the soil in a prescribed percentage to improve the bearing capacity of the soil.  </w:t>
      </w:r>
      <w:r>
        <w:rPr>
          <w:rFonts w:cs="Arial"/>
          <w:color w:val="000000"/>
          <w:szCs w:val="20"/>
        </w:rPr>
        <w:t xml:space="preserve">Replacement shall require </w:t>
      </w:r>
      <w:r>
        <w:rPr>
          <w:rFonts w:cs="Arial"/>
          <w:color w:val="000000"/>
          <w:szCs w:val="20"/>
        </w:rPr>
        <w:t xml:space="preserve">confinement by surrounding ground.  For </w:t>
      </w:r>
      <w:r>
        <w:rPr>
          <w:rFonts w:cs="Arial"/>
          <w:color w:val="000000"/>
          <w:szCs w:val="20"/>
        </w:rPr>
        <w:t>mxing</w:t>
      </w:r>
      <w:r>
        <w:rPr>
          <w:rFonts w:cs="Arial"/>
          <w:color w:val="000000"/>
          <w:szCs w:val="20"/>
        </w:rPr>
        <w:t>, t</w:t>
      </w:r>
      <w:r w:rsidRPr="00606F01">
        <w:rPr>
          <w:rFonts w:cs="Arial"/>
          <w:color w:val="000000"/>
          <w:szCs w:val="20"/>
        </w:rPr>
        <w:t xml:space="preserve">he percentage of screenings to </w:t>
      </w:r>
      <w:r w:rsidRPr="00606F01">
        <w:rPr>
          <w:rFonts w:cs="Arial"/>
          <w:color w:val="000000"/>
          <w:szCs w:val="20"/>
        </w:rPr>
        <w:t>be used</w:t>
      </w:r>
      <w:r w:rsidRPr="00606F01">
        <w:rPr>
          <w:rFonts w:cs="Arial"/>
          <w:color w:val="000000"/>
          <w:szCs w:val="20"/>
        </w:rPr>
        <w:t xml:space="preserve"> shall be determined by sampling the soft/unsuitable soil and mixing with varying percentages of No. 10 Screenings in the laboratory.  Proctor samples and CBR samples of each mixture shall be prepared in accordance</w:t>
      </w:r>
      <w:r>
        <w:rPr>
          <w:rFonts w:cs="Arial"/>
          <w:color w:val="000000"/>
          <w:szCs w:val="20"/>
        </w:rPr>
        <w:t>VTM-1 and VTM-8, respectively</w:t>
      </w:r>
      <w:r w:rsidRPr="00606F01">
        <w:rPr>
          <w:rFonts w:cs="Arial"/>
          <w:color w:val="000000"/>
          <w:szCs w:val="20"/>
        </w:rPr>
        <w:t xml:space="preserve">.  The mixture resulting in the desired minimum CBR will determine the minimum amount of No. 10 Screenings to </w:t>
      </w:r>
      <w:r w:rsidRPr="00606F01">
        <w:rPr>
          <w:rFonts w:cs="Arial"/>
          <w:color w:val="000000"/>
          <w:szCs w:val="20"/>
        </w:rPr>
        <w:t>be used</w:t>
      </w:r>
      <w:r w:rsidRPr="00606F01">
        <w:rPr>
          <w:rFonts w:cs="Arial"/>
          <w:color w:val="000000"/>
          <w:szCs w:val="20"/>
        </w:rPr>
        <w:t xml:space="preserve">.  Field mixing of the No. 10 Screenings </w:t>
      </w:r>
      <w:r w:rsidRPr="00606F01">
        <w:rPr>
          <w:rFonts w:cs="Arial"/>
          <w:color w:val="000000"/>
          <w:szCs w:val="20"/>
        </w:rPr>
        <w:t>shall be accomplished</w:t>
      </w:r>
      <w:r w:rsidRPr="00606F01">
        <w:rPr>
          <w:rFonts w:cs="Arial"/>
          <w:color w:val="000000"/>
          <w:szCs w:val="20"/>
        </w:rPr>
        <w:t xml:space="preserve"> by layering the appropriate amount of screenings on top of the soft/unsuitable soil followed by blending to a depth of 8 inches to achieve the blend percentage determined in the laboratory.  Mixing </w:t>
      </w:r>
      <w:r w:rsidRPr="00606F01">
        <w:rPr>
          <w:rFonts w:cs="Arial"/>
          <w:color w:val="000000"/>
          <w:szCs w:val="20"/>
        </w:rPr>
        <w:t>shall be accomplished</w:t>
      </w:r>
      <w:r w:rsidRPr="00606F01">
        <w:rPr>
          <w:rFonts w:cs="Arial"/>
          <w:color w:val="000000"/>
          <w:szCs w:val="20"/>
        </w:rPr>
        <w:t xml:space="preserve"> by means of a self-propelled or self-powered machine equipped with a mechanical rotor or other approved type of mixer that will thoroughly blend the No 10 Screenings with the soil.</w:t>
      </w:r>
    </w:p>
    <w:p w:rsidR="00913BAF" w:rsidRPr="00EB73CD" w:rsidP="00913BAF" w14:paraId="085020AC" w14:textId="77777777">
      <w:pPr>
        <w:pStyle w:val="ListParagraph"/>
        <w:numPr>
          <w:ilvl w:val="0"/>
          <w:numId w:val="2"/>
        </w:numPr>
        <w:spacing w:line="240" w:lineRule="auto"/>
        <w:rPr>
          <w:rFonts w:cs="Arial"/>
          <w:color w:val="000000"/>
          <w:szCs w:val="20"/>
        </w:rPr>
      </w:pPr>
      <w:r w:rsidRPr="00EB73CD">
        <w:rPr>
          <w:rFonts w:cs="Arial"/>
          <w:b/>
          <w:color w:val="000000"/>
          <w:szCs w:val="20"/>
        </w:rPr>
        <w:t>MEASUREMENT AND PAYMENT</w:t>
      </w:r>
    </w:p>
    <w:p w:rsidR="00913BAF" w:rsidRPr="00606F01" w:rsidP="00913BAF" w14:paraId="05020AD4" w14:textId="77777777">
      <w:pPr>
        <w:spacing w:line="240" w:lineRule="auto"/>
        <w:ind w:left="720"/>
        <w:jc w:val="both"/>
        <w:rPr>
          <w:rFonts w:cs="Arial"/>
          <w:szCs w:val="20"/>
        </w:rPr>
      </w:pPr>
      <w:r w:rsidRPr="00EB73CD">
        <w:rPr>
          <w:rFonts w:cs="Arial"/>
          <w:b/>
          <w:szCs w:val="20"/>
        </w:rPr>
        <w:t xml:space="preserve">No. 10 </w:t>
      </w:r>
      <w:r>
        <w:rPr>
          <w:rFonts w:cs="Arial"/>
          <w:b/>
          <w:szCs w:val="20"/>
        </w:rPr>
        <w:t>s</w:t>
      </w:r>
      <w:r w:rsidRPr="00EB73CD">
        <w:rPr>
          <w:rFonts w:cs="Arial"/>
          <w:b/>
          <w:szCs w:val="20"/>
        </w:rPr>
        <w:t>creenings</w:t>
      </w:r>
      <w:r>
        <w:rPr>
          <w:rFonts w:cs="Arial"/>
          <w:szCs w:val="20"/>
        </w:rPr>
        <w:t>, when a pay item,</w:t>
      </w:r>
      <w:r w:rsidRPr="00606F01">
        <w:rPr>
          <w:rFonts w:cs="Arial"/>
          <w:szCs w:val="20"/>
        </w:rPr>
        <w:t xml:space="preserve"> </w:t>
      </w:r>
      <w:r w:rsidRPr="00606F01">
        <w:rPr>
          <w:rFonts w:cs="Arial"/>
          <w:szCs w:val="20"/>
        </w:rPr>
        <w:t>will be</w:t>
      </w:r>
      <w:r>
        <w:rPr>
          <w:rFonts w:cs="Arial"/>
          <w:szCs w:val="20"/>
        </w:rPr>
        <w:t xml:space="preserve"> measured in tons, and paid for at the Contract ton</w:t>
      </w:r>
      <w:r w:rsidRPr="00606F01">
        <w:rPr>
          <w:rFonts w:cs="Arial"/>
          <w:szCs w:val="20"/>
        </w:rPr>
        <w:t xml:space="preserve"> </w:t>
      </w:r>
      <w:r>
        <w:rPr>
          <w:rFonts w:cs="Arial"/>
          <w:szCs w:val="20"/>
        </w:rPr>
        <w:t>price</w:t>
      </w:r>
      <w:r w:rsidRPr="00606F01">
        <w:rPr>
          <w:rFonts w:cs="Arial"/>
          <w:szCs w:val="20"/>
        </w:rPr>
        <w:t xml:space="preserve"> based on certified weigh tickets from the source of supply.</w:t>
      </w:r>
      <w:r>
        <w:rPr>
          <w:rFonts w:cs="Arial"/>
          <w:szCs w:val="20"/>
        </w:rPr>
        <w:t xml:space="preserve"> This price shall include furnishing, transporting, and placing No. 10 screenings; and all work incidental to their use (e.g., capping embankments in accordance with Section III-1 herein).</w:t>
      </w:r>
    </w:p>
    <w:p w:rsidR="00913BAF" w:rsidRPr="00606F01" w:rsidP="00913BAF" w14:paraId="3A661E2A" w14:textId="77777777">
      <w:pPr>
        <w:numPr>
          <w:ilvl w:val="12"/>
          <w:numId w:val="0"/>
        </w:numPr>
        <w:spacing w:line="240" w:lineRule="auto"/>
        <w:ind w:left="720"/>
        <w:jc w:val="both"/>
        <w:rPr>
          <w:rFonts w:cs="Arial"/>
          <w:szCs w:val="20"/>
        </w:rPr>
      </w:pPr>
      <w:r w:rsidRPr="00606F01">
        <w:rPr>
          <w:rFonts w:cs="Arial"/>
          <w:szCs w:val="20"/>
        </w:rPr>
        <w:t xml:space="preserve">Payment </w:t>
      </w:r>
      <w:r w:rsidRPr="00606F01">
        <w:rPr>
          <w:rFonts w:cs="Arial"/>
          <w:szCs w:val="20"/>
        </w:rPr>
        <w:t>will be made</w:t>
      </w:r>
      <w:r w:rsidRPr="00606F01">
        <w:rPr>
          <w:rFonts w:cs="Arial"/>
          <w:szCs w:val="20"/>
        </w:rPr>
        <w:t xml:space="preserve"> under:</w:t>
      </w:r>
    </w:p>
    <w:tbl>
      <w:tblPr>
        <w:tblW w:w="0" w:type="auto"/>
        <w:tblInd w:w="1008" w:type="dxa"/>
        <w:tblBorders>
          <w:top w:val="single" w:sz="4" w:space="0" w:color="auto"/>
          <w:bottom w:val="single" w:sz="4" w:space="0" w:color="auto"/>
          <w:insideH w:val="single" w:sz="4" w:space="0" w:color="auto"/>
        </w:tblBorders>
        <w:tblLook w:val="00A0"/>
      </w:tblPr>
      <w:tblGrid>
        <w:gridCol w:w="5940"/>
        <w:gridCol w:w="2160"/>
      </w:tblGrid>
      <w:tr w14:paraId="1E538A26" w14:textId="77777777" w:rsidTr="00C21E61">
        <w:tblPrEx>
          <w:tblW w:w="0" w:type="auto"/>
          <w:tblInd w:w="1008" w:type="dxa"/>
          <w:tblBorders>
            <w:top w:val="single" w:sz="4" w:space="0" w:color="auto"/>
            <w:bottom w:val="single" w:sz="4" w:space="0" w:color="auto"/>
            <w:insideH w:val="single" w:sz="4" w:space="0" w:color="auto"/>
          </w:tblBorders>
          <w:tblLook w:val="00A0"/>
        </w:tblPrEx>
        <w:tc>
          <w:tcPr>
            <w:tcW w:w="5940" w:type="dxa"/>
          </w:tcPr>
          <w:p w:rsidR="00913BAF" w:rsidRPr="00606F01" w:rsidP="00C21E61" w14:paraId="7A9FFF1B" w14:textId="77777777">
            <w:pPr>
              <w:spacing w:before="120" w:after="120" w:line="240" w:lineRule="auto"/>
              <w:jc w:val="both"/>
              <w:rPr>
                <w:rFonts w:cs="Arial"/>
                <w:b/>
                <w:szCs w:val="20"/>
              </w:rPr>
            </w:pPr>
            <w:r w:rsidRPr="00606F01">
              <w:rPr>
                <w:rFonts w:cs="Arial"/>
                <w:b/>
                <w:szCs w:val="20"/>
              </w:rPr>
              <w:t>Pay Item</w:t>
            </w:r>
          </w:p>
        </w:tc>
        <w:tc>
          <w:tcPr>
            <w:tcW w:w="2160" w:type="dxa"/>
          </w:tcPr>
          <w:p w:rsidR="00913BAF" w:rsidRPr="00606F01" w:rsidP="00C21E61" w14:paraId="670AA472" w14:textId="77777777">
            <w:pPr>
              <w:spacing w:before="120" w:after="120" w:line="240" w:lineRule="auto"/>
              <w:jc w:val="both"/>
              <w:rPr>
                <w:rFonts w:cs="Arial"/>
                <w:b/>
                <w:szCs w:val="20"/>
              </w:rPr>
            </w:pPr>
            <w:r w:rsidRPr="00606F01">
              <w:rPr>
                <w:rFonts w:cs="Arial"/>
                <w:b/>
                <w:szCs w:val="20"/>
              </w:rPr>
              <w:t>Pay Unit</w:t>
            </w:r>
          </w:p>
        </w:tc>
      </w:tr>
      <w:tr w14:paraId="16596687" w14:textId="77777777" w:rsidTr="00C21E61">
        <w:tblPrEx>
          <w:tblW w:w="0" w:type="auto"/>
          <w:tblInd w:w="1008" w:type="dxa"/>
          <w:tblLook w:val="00A0"/>
        </w:tblPrEx>
        <w:tc>
          <w:tcPr>
            <w:tcW w:w="5940" w:type="dxa"/>
          </w:tcPr>
          <w:p w:rsidR="00913BAF" w:rsidRPr="00606F01" w:rsidP="00C21E61" w14:paraId="05E79A64" w14:textId="77777777">
            <w:pPr>
              <w:spacing w:before="120" w:after="120" w:line="240" w:lineRule="auto"/>
              <w:jc w:val="both"/>
              <w:rPr>
                <w:rFonts w:cs="Arial"/>
                <w:szCs w:val="20"/>
              </w:rPr>
            </w:pPr>
            <w:r w:rsidRPr="00606F01">
              <w:rPr>
                <w:rFonts w:cs="Arial"/>
                <w:szCs w:val="20"/>
              </w:rPr>
              <w:t>No. 10 Screenings</w:t>
            </w:r>
          </w:p>
        </w:tc>
        <w:tc>
          <w:tcPr>
            <w:tcW w:w="2160" w:type="dxa"/>
          </w:tcPr>
          <w:p w:rsidR="00913BAF" w:rsidRPr="00606F01" w:rsidP="00C21E61" w14:paraId="211AA5DA" w14:textId="77777777">
            <w:pPr>
              <w:spacing w:before="120" w:after="120" w:line="240" w:lineRule="auto"/>
              <w:jc w:val="both"/>
              <w:rPr>
                <w:rFonts w:cs="Arial"/>
                <w:szCs w:val="20"/>
              </w:rPr>
            </w:pPr>
            <w:r w:rsidRPr="00606F01">
              <w:rPr>
                <w:rFonts w:cs="Arial"/>
                <w:szCs w:val="20"/>
              </w:rPr>
              <w:t>Ton</w:t>
            </w:r>
            <w:r w:rsidRPr="00606F01">
              <w:rPr>
                <w:rFonts w:cs="Arial"/>
                <w:vanish/>
                <w:color w:val="FF0000"/>
                <w:szCs w:val="20"/>
              </w:rPr>
              <w:t xml:space="preserve"> </w:t>
            </w:r>
          </w:p>
        </w:tc>
      </w:tr>
    </w:tbl>
    <w:p w:rsidR="00913BAF" w:rsidRPr="00606F01" w:rsidP="00913BAF" w14:paraId="7EBF03B5" w14:textId="77777777">
      <w:pPr>
        <w:spacing w:line="240" w:lineRule="auto"/>
        <w:rPr>
          <w:rFonts w:cs="Arial"/>
          <w:color w:val="000000"/>
          <w:szCs w:val="20"/>
        </w:rPr>
      </w:pPr>
    </w:p>
    <w:p w:rsidR="00913BAF" w:rsidRPr="00606F01" w:rsidP="00913BAF" w14:paraId="00FE3F94" w14:textId="77777777">
      <w:pPr>
        <w:spacing w:line="240" w:lineRule="auto"/>
        <w:rPr>
          <w:rFonts w:cs="Arial"/>
          <w:color w:val="000000"/>
          <w:szCs w:val="20"/>
        </w:rPr>
      </w:pPr>
    </w:p>
    <w:sectPr w:rsidSect="0039006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5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0" w14:textId="5D82B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8381579"/>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631274B"/>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4FEC4FEC"/>
    <w:multiLevelType w:val="multilevel"/>
    <w:tmpl w:val="9626C7D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7220126F"/>
    <w:multiLevelType w:val="hybridMultilevel"/>
    <w:tmpl w:val="81B4494E"/>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5CC"/>
    <w:rsid w:val="00042198"/>
    <w:rsid w:val="00063A3F"/>
    <w:rsid w:val="00066159"/>
    <w:rsid w:val="00081844"/>
    <w:rsid w:val="0009540E"/>
    <w:rsid w:val="00095FED"/>
    <w:rsid w:val="000C32FD"/>
    <w:rsid w:val="0010365C"/>
    <w:rsid w:val="00163896"/>
    <w:rsid w:val="001B1377"/>
    <w:rsid w:val="001D06E1"/>
    <w:rsid w:val="00203C9A"/>
    <w:rsid w:val="0021374E"/>
    <w:rsid w:val="00232238"/>
    <w:rsid w:val="00320271"/>
    <w:rsid w:val="00390060"/>
    <w:rsid w:val="00420658"/>
    <w:rsid w:val="00420E33"/>
    <w:rsid w:val="004C1A47"/>
    <w:rsid w:val="00523B96"/>
    <w:rsid w:val="005A1C70"/>
    <w:rsid w:val="00604387"/>
    <w:rsid w:val="00606F01"/>
    <w:rsid w:val="00694A2E"/>
    <w:rsid w:val="006C4122"/>
    <w:rsid w:val="007065CC"/>
    <w:rsid w:val="00721A98"/>
    <w:rsid w:val="007A707F"/>
    <w:rsid w:val="007B1568"/>
    <w:rsid w:val="007B3E11"/>
    <w:rsid w:val="0080766F"/>
    <w:rsid w:val="00807E19"/>
    <w:rsid w:val="00862FC6"/>
    <w:rsid w:val="00892F4E"/>
    <w:rsid w:val="008A1E6A"/>
    <w:rsid w:val="008C4548"/>
    <w:rsid w:val="008F7424"/>
    <w:rsid w:val="00913BAF"/>
    <w:rsid w:val="009176EA"/>
    <w:rsid w:val="009323C2"/>
    <w:rsid w:val="009431E6"/>
    <w:rsid w:val="00943DF8"/>
    <w:rsid w:val="00947C9E"/>
    <w:rsid w:val="00986070"/>
    <w:rsid w:val="00995A07"/>
    <w:rsid w:val="00A2216D"/>
    <w:rsid w:val="00A36483"/>
    <w:rsid w:val="00A42B38"/>
    <w:rsid w:val="00A52794"/>
    <w:rsid w:val="00A63FEF"/>
    <w:rsid w:val="00AC435D"/>
    <w:rsid w:val="00AD1797"/>
    <w:rsid w:val="00AF1026"/>
    <w:rsid w:val="00B145FD"/>
    <w:rsid w:val="00B822F0"/>
    <w:rsid w:val="00BC77D9"/>
    <w:rsid w:val="00C21E61"/>
    <w:rsid w:val="00C429C2"/>
    <w:rsid w:val="00C676B3"/>
    <w:rsid w:val="00CA72B5"/>
    <w:rsid w:val="00CE09FE"/>
    <w:rsid w:val="00D64632"/>
    <w:rsid w:val="00D76ED1"/>
    <w:rsid w:val="00D851EF"/>
    <w:rsid w:val="00DA2CB0"/>
    <w:rsid w:val="00DE273E"/>
    <w:rsid w:val="00E6105D"/>
    <w:rsid w:val="00E94C8F"/>
    <w:rsid w:val="00E971BB"/>
    <w:rsid w:val="00EB1594"/>
    <w:rsid w:val="00EB73CD"/>
    <w:rsid w:val="00EC711B"/>
    <w:rsid w:val="00ED1FEC"/>
    <w:rsid w:val="00F000BE"/>
    <w:rsid w:val="00F86F64"/>
    <w:rsid w:val="00FB4737"/>
    <w:rsid w:val="00FC796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DBC2431"/>
  <w15:docId w15:val="{E07214AB-BF2C-4EC4-BC32-1AC3D986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F4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46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632"/>
    <w:rPr>
      <w:rFonts w:ascii="Tahoma" w:hAnsi="Tahoma" w:cs="Tahoma"/>
      <w:sz w:val="16"/>
      <w:szCs w:val="16"/>
    </w:rPr>
  </w:style>
  <w:style w:type="paragraph" w:styleId="ListParagraph">
    <w:name w:val="List Paragraph"/>
    <w:basedOn w:val="Normal"/>
    <w:uiPriority w:val="34"/>
    <w:qFormat/>
    <w:rsid w:val="009176EA"/>
    <w:pPr>
      <w:ind w:left="720"/>
      <w:contextualSpacing/>
    </w:pPr>
  </w:style>
  <w:style w:type="paragraph" w:styleId="Header">
    <w:name w:val="header"/>
    <w:basedOn w:val="Normal"/>
    <w:link w:val="HeaderChar"/>
    <w:uiPriority w:val="99"/>
    <w:unhideWhenUsed/>
    <w:rsid w:val="007B1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1568"/>
  </w:style>
  <w:style w:type="paragraph" w:styleId="Footer">
    <w:name w:val="footer"/>
    <w:basedOn w:val="Normal"/>
    <w:link w:val="FooterChar"/>
    <w:uiPriority w:val="99"/>
    <w:unhideWhenUsed/>
    <w:rsid w:val="007B1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1568"/>
  </w:style>
  <w:style w:type="character" w:styleId="CommentReference">
    <w:name w:val="annotation reference"/>
    <w:basedOn w:val="DefaultParagraphFont"/>
    <w:uiPriority w:val="99"/>
    <w:semiHidden/>
    <w:unhideWhenUsed/>
    <w:rsid w:val="00606F01"/>
    <w:rPr>
      <w:sz w:val="16"/>
      <w:szCs w:val="16"/>
    </w:rPr>
  </w:style>
  <w:style w:type="paragraph" w:styleId="CommentText">
    <w:name w:val="annotation text"/>
    <w:basedOn w:val="Normal"/>
    <w:link w:val="CommentTextChar"/>
    <w:uiPriority w:val="99"/>
    <w:semiHidden/>
    <w:unhideWhenUsed/>
    <w:rsid w:val="00606F01"/>
    <w:pPr>
      <w:spacing w:line="240" w:lineRule="auto"/>
    </w:pPr>
    <w:rPr>
      <w:szCs w:val="20"/>
    </w:rPr>
  </w:style>
  <w:style w:type="character" w:customStyle="1" w:styleId="CommentTextChar">
    <w:name w:val="Comment Text Char"/>
    <w:basedOn w:val="DefaultParagraphFont"/>
    <w:link w:val="CommentText"/>
    <w:uiPriority w:val="99"/>
    <w:semiHidden/>
    <w:rsid w:val="00606F01"/>
    <w:rPr>
      <w:sz w:val="20"/>
      <w:szCs w:val="20"/>
    </w:rPr>
  </w:style>
  <w:style w:type="paragraph" w:styleId="CommentSubject">
    <w:name w:val="annotation subject"/>
    <w:basedOn w:val="CommentText"/>
    <w:next w:val="CommentText"/>
    <w:link w:val="CommentSubjectChar"/>
    <w:uiPriority w:val="99"/>
    <w:semiHidden/>
    <w:unhideWhenUsed/>
    <w:rsid w:val="00606F01"/>
    <w:rPr>
      <w:b/>
      <w:bCs/>
    </w:rPr>
  </w:style>
  <w:style w:type="character" w:customStyle="1" w:styleId="CommentSubjectChar">
    <w:name w:val="Comment Subject Char"/>
    <w:basedOn w:val="CommentTextChar"/>
    <w:link w:val="CommentSubject"/>
    <w:uiPriority w:val="99"/>
    <w:semiHidden/>
    <w:rsid w:val="00606F01"/>
    <w:rPr>
      <w:b/>
      <w:bCs/>
      <w:sz w:val="20"/>
      <w:szCs w:val="20"/>
    </w:rPr>
  </w:style>
  <w:style w:type="character" w:styleId="Hyperlink">
    <w:name w:val="Hyperlink"/>
    <w:uiPriority w:val="99"/>
    <w:unhideWhenUsed/>
    <w:rsid w:val="00892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3-000210-00.docx" TargetMode="External" /><Relationship Id="rId8" Type="http://schemas.openxmlformats.org/officeDocument/2006/relationships/hyperlink" Target="HTTPS://COVGOV.SHAREPOINT.COM/sites/TM-VDOT-SC-Specifications-External/2016_Standard_Specifications/SP303-020100-00.docx"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SP303-000210-00</Specification_x0020_Number>
    <Status xmlns="2328571d-b9d5-471b-8d96-2ccb743ec3d4">Active</Status>
    <Usage_x0020_Guidelines xmlns="2328571d-b9d5-471b-8d96-2ccb743ec3d4">Use where Contractor recommends No.10 Screenings for certain items as a VE Proposal, or where No.10 Screenings are specified as an alternate bid item. If Plans specifically require No.10 Screenings, contact State Spec Engineer to clarify before use.</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303</Section>
    <LAP_x0020_Pick_x0020_List xmlns="2328571d-b9d5-471b-8d96-2ccb743ec3d4">false</LAP_x0020_Pick_x0020_List>
    <Revision_x0020_Date xmlns="2328571d-b9d5-471b-8d96-2ccb743ec3d4">2017-04-28T04:00:00+00:00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7A441-1C24-4251-8DE7-DB78C26ABD5B}">
  <ds:schemaRefs/>
</ds:datastoreItem>
</file>

<file path=customXml/itemProps2.xml><?xml version="1.0" encoding="utf-8"?>
<ds:datastoreItem xmlns:ds="http://schemas.openxmlformats.org/officeDocument/2006/customXml" ds:itemID="{99B4EA53-4777-48B2-8F14-F7F2AFC7ABFB}">
  <ds:schemaRefs/>
</ds:datastoreItem>
</file>

<file path=customXml/itemProps3.xml><?xml version="1.0" encoding="utf-8"?>
<ds:datastoreItem xmlns:ds="http://schemas.openxmlformats.org/officeDocument/2006/customXml" ds:itemID="{5C02E03A-2B7E-4612-816E-4FFC64C2CE86}">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USE OF NUMBER 10 SCREENINGS 4-28-17</vt:lpstr>
    </vt:vector>
  </TitlesOfParts>
  <Company>Virginia IT Infrastructure Partnership</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NUMBER 10 SCREENINGS 4-28-17</dc:title>
  <dc:creator>john.schuler</dc:creator>
  <cp:lastModifiedBy>Gayle, David W. (VDOT)</cp:lastModifiedBy>
  <cp:revision>30</cp:revision>
  <dcterms:created xsi:type="dcterms:W3CDTF">2017-03-23T11:34:00Z</dcterms:created>
  <dcterms:modified xsi:type="dcterms:W3CDTF">2018-12-18T03:52:00Z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GGuide">
    <vt:lpwstr>https://outsidevdot.cov.virginia.gov/P0JQP/2016_Standard_Specifications/Forms/PLGG.aspx?View={059C9ADD-1EEB-4E46-8248-51123B71B3E6}&amp;FilterField1=ID&amp;FilterValue1=1586, G</vt:lpwstr>
  </property>
  <property fmtid="{D5CDD505-2E9C-101B-9397-08002B2CF9AE}" pid="4" name="On Check-List">
    <vt:bool>false</vt:bool>
  </property>
  <property fmtid="{D5CDD505-2E9C-101B-9397-08002B2CF9AE}" pid="5" name="Order">
    <vt:r8>3500</vt:r8>
  </property>
  <property fmtid="{D5CDD505-2E9C-101B-9397-08002B2CF9AE}" pid="6" name="Pick List">
    <vt:bool>true</vt:bool>
  </property>
  <property fmtid="{D5CDD505-2E9C-101B-9397-08002B2CF9AE}" pid="7" name="Spec Develop Lib">
    <vt:lpwstr>https://insidevdot.cov.virginia.gov/div/sc/Design/Specs/Dev/Spec%20Revision/Forms/AllItems.aspx?View={6529039F-8B8D-4278-948D-385174C24035}&amp;FilterField1=ID&amp;FilterValue1=34, SDLFID-34</vt:lpwstr>
  </property>
  <property fmtid="{D5CDD505-2E9C-101B-9397-08002B2CF9AE}" pid="8" name="Spec No. (Pick List)">
    <vt:lpwstr>https://outsidevdot.cov.virginia.gov/P0JQP/_layouts/WordViewer.aspx?id=/P0JQP/2016_Standard_Specifications/SP303-020100-00.docx, SP303-020100-00</vt:lpwstr>
  </property>
  <property fmtid="{D5CDD505-2E9C-101B-9397-08002B2CF9AE}" pid="9" name="Special Qualifications">
    <vt:lpwstr/>
  </property>
  <property fmtid="{D5CDD505-2E9C-101B-9397-08002B2CF9AE}" pid="10" name="TemplateUrl">
    <vt:lpwstr/>
  </property>
  <property fmtid="{D5CDD505-2E9C-101B-9397-08002B2CF9AE}" pid="11" name="Web Page No.">
    <vt:lpwstr>, </vt:lpwstr>
  </property>
  <property fmtid="{D5CDD505-2E9C-101B-9397-08002B2CF9AE}" pid="12" name="X-Guidelines">
    <vt:lpwstr/>
  </property>
  <property fmtid="{D5CDD505-2E9C-101B-9397-08002B2CF9AE}" pid="13" name="xd_ProgID">
    <vt:lpwstr/>
  </property>
  <property fmtid="{D5CDD505-2E9C-101B-9397-08002B2CF9AE}" pid="14" name="_docset_NoMedatataSyncRequired">
    <vt:lpwstr>False</vt:lpwstr>
  </property>
</Properties>
</file>