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4A23E7" w14:textId="06C67FB6" w:rsidR="00246F2A" w:rsidRDefault="004D1625" w:rsidP="00246F2A">
      <w:pPr>
        <w:tabs>
          <w:tab w:val="right" w:pos="9360"/>
        </w:tabs>
        <w:rPr>
          <w:rStyle w:val="A0"/>
          <w:rFonts w:cs="Arial"/>
          <w:bCs/>
          <w:color w:val="auto"/>
          <w:szCs w:val="20"/>
        </w:rPr>
      </w:pPr>
      <w:bookmarkStart w:id="0" w:name="_GoBack"/>
      <w:bookmarkEnd w:id="0"/>
      <w:r>
        <w:rPr>
          <w:rStyle w:val="A0"/>
          <w:rFonts w:cs="Arial"/>
          <w:b/>
          <w:bCs/>
          <w:color w:val="auto"/>
          <w:szCs w:val="20"/>
        </w:rPr>
        <w:t>SS305-0020</w:t>
      </w:r>
      <w:r w:rsidR="001D0296">
        <w:rPr>
          <w:rStyle w:val="A0"/>
          <w:rFonts w:cs="Arial"/>
          <w:b/>
          <w:bCs/>
          <w:color w:val="auto"/>
          <w:szCs w:val="20"/>
        </w:rPr>
        <w:t>20</w:t>
      </w:r>
      <w:r>
        <w:rPr>
          <w:rStyle w:val="A0"/>
          <w:rFonts w:cs="Arial"/>
          <w:b/>
          <w:bCs/>
          <w:color w:val="auto"/>
          <w:szCs w:val="20"/>
        </w:rPr>
        <w:t>-01</w:t>
      </w:r>
      <w:r>
        <w:rPr>
          <w:rStyle w:val="A0"/>
          <w:rFonts w:cs="Arial"/>
          <w:b/>
          <w:bCs/>
          <w:color w:val="auto"/>
          <w:szCs w:val="20"/>
        </w:rPr>
        <w:tab/>
      </w:r>
      <w:r>
        <w:rPr>
          <w:rStyle w:val="A0"/>
          <w:rFonts w:cs="Arial"/>
          <w:bCs/>
          <w:color w:val="auto"/>
          <w:szCs w:val="20"/>
        </w:rPr>
        <w:t>June</w:t>
      </w:r>
      <w:r w:rsidR="00246F2A">
        <w:rPr>
          <w:rStyle w:val="A0"/>
          <w:rFonts w:cs="Arial"/>
          <w:bCs/>
          <w:color w:val="auto"/>
          <w:szCs w:val="20"/>
        </w:rPr>
        <w:t xml:space="preserve"> </w:t>
      </w:r>
      <w:r>
        <w:rPr>
          <w:rStyle w:val="A0"/>
          <w:rFonts w:cs="Arial"/>
          <w:bCs/>
          <w:color w:val="auto"/>
          <w:szCs w:val="20"/>
        </w:rPr>
        <w:t>2</w:t>
      </w:r>
      <w:r w:rsidR="00246F2A">
        <w:rPr>
          <w:rStyle w:val="A0"/>
          <w:rFonts w:cs="Arial"/>
          <w:bCs/>
          <w:color w:val="auto"/>
          <w:szCs w:val="20"/>
        </w:rPr>
        <w:t>, 20</w:t>
      </w:r>
      <w:r w:rsidR="00DD2B96">
        <w:rPr>
          <w:rStyle w:val="A0"/>
          <w:rFonts w:cs="Arial"/>
          <w:bCs/>
          <w:color w:val="auto"/>
          <w:szCs w:val="20"/>
        </w:rPr>
        <w:t>20</w:t>
      </w:r>
    </w:p>
    <w:p w14:paraId="081E273D" w14:textId="77777777" w:rsidR="00137139" w:rsidRPr="00246F2A" w:rsidRDefault="00137139" w:rsidP="00246F2A">
      <w:pPr>
        <w:tabs>
          <w:tab w:val="right" w:pos="9360"/>
        </w:tabs>
        <w:rPr>
          <w:rStyle w:val="A0"/>
          <w:rFonts w:cs="Arial"/>
          <w:bCs/>
          <w:color w:val="auto"/>
          <w:szCs w:val="20"/>
        </w:rPr>
      </w:pPr>
    </w:p>
    <w:p w14:paraId="28E7AF7B" w14:textId="06FB7F2A" w:rsidR="00246F2A" w:rsidRDefault="00246F2A" w:rsidP="00246F2A">
      <w:pPr>
        <w:contextualSpacing/>
        <w:jc w:val="center"/>
        <w:rPr>
          <w:rStyle w:val="A0"/>
          <w:rFonts w:cs="Arial"/>
          <w:bCs/>
          <w:color w:val="auto"/>
          <w:szCs w:val="20"/>
        </w:rPr>
      </w:pPr>
      <w:r>
        <w:rPr>
          <w:rStyle w:val="A0"/>
          <w:rFonts w:cs="Arial"/>
          <w:bCs/>
          <w:color w:val="auto"/>
          <w:szCs w:val="20"/>
        </w:rPr>
        <w:t>VIRGINIA DEPARTMENT OF TRANSPORTATION</w:t>
      </w:r>
    </w:p>
    <w:p w14:paraId="7DD00EF6" w14:textId="0F4174A6" w:rsidR="00246F2A" w:rsidRDefault="00246F2A" w:rsidP="00246F2A">
      <w:pPr>
        <w:contextualSpacing/>
        <w:jc w:val="center"/>
        <w:rPr>
          <w:rStyle w:val="A0"/>
          <w:rFonts w:cs="Arial"/>
          <w:bCs/>
          <w:color w:val="auto"/>
          <w:szCs w:val="20"/>
        </w:rPr>
      </w:pPr>
      <w:r>
        <w:rPr>
          <w:rStyle w:val="A0"/>
          <w:rFonts w:cs="Arial"/>
          <w:bCs/>
          <w:color w:val="auto"/>
          <w:szCs w:val="20"/>
        </w:rPr>
        <w:t>20</w:t>
      </w:r>
      <w:r w:rsidR="001D0296">
        <w:rPr>
          <w:rStyle w:val="A0"/>
          <w:rFonts w:cs="Arial"/>
          <w:bCs/>
          <w:color w:val="auto"/>
          <w:szCs w:val="20"/>
        </w:rPr>
        <w:t>20</w:t>
      </w:r>
      <w:r>
        <w:rPr>
          <w:rStyle w:val="A0"/>
          <w:rFonts w:cs="Arial"/>
          <w:bCs/>
          <w:color w:val="auto"/>
          <w:szCs w:val="20"/>
        </w:rPr>
        <w:t xml:space="preserve"> ROAD AND BRIDGE SUPPLEMENTAL SPECIFICATIONS</w:t>
      </w:r>
    </w:p>
    <w:p w14:paraId="3E819508" w14:textId="3B090E10" w:rsidR="00246F2A" w:rsidRDefault="00246F2A" w:rsidP="00246F2A">
      <w:pPr>
        <w:jc w:val="center"/>
        <w:rPr>
          <w:rStyle w:val="A0"/>
          <w:rFonts w:cs="Arial"/>
          <w:b/>
          <w:bCs/>
          <w:color w:val="auto"/>
          <w:szCs w:val="20"/>
        </w:rPr>
      </w:pPr>
      <w:r>
        <w:rPr>
          <w:rStyle w:val="A0"/>
          <w:rFonts w:cs="Arial"/>
          <w:b/>
          <w:bCs/>
          <w:color w:val="auto"/>
          <w:szCs w:val="20"/>
        </w:rPr>
        <w:t>SECTION 305 – SUBGRADE AND SHOULDERS</w:t>
      </w:r>
      <w:r w:rsidR="001D0296">
        <w:rPr>
          <w:rStyle w:val="A0"/>
          <w:rFonts w:cs="Arial"/>
          <w:b/>
          <w:bCs/>
          <w:color w:val="auto"/>
          <w:szCs w:val="20"/>
        </w:rPr>
        <w:fldChar w:fldCharType="begin"/>
      </w:r>
      <w:r w:rsidR="001D0296">
        <w:instrText xml:space="preserve"> TC "</w:instrText>
      </w:r>
      <w:r w:rsidR="00863094">
        <w:rPr>
          <w:rStyle w:val="A0"/>
          <w:rFonts w:cs="Arial"/>
          <w:b/>
          <w:bCs/>
          <w:color w:val="auto"/>
          <w:szCs w:val="20"/>
        </w:rPr>
        <w:instrText>*</w:instrText>
      </w:r>
      <w:r w:rsidR="001D0296">
        <w:rPr>
          <w:rStyle w:val="A0"/>
          <w:rFonts w:cs="Arial"/>
          <w:b/>
          <w:bCs/>
          <w:color w:val="auto"/>
          <w:szCs w:val="20"/>
        </w:rPr>
        <w:instrText xml:space="preserve">SS305-002020-01    </w:instrText>
      </w:r>
      <w:r w:rsidR="001D0296" w:rsidRPr="00246617">
        <w:rPr>
          <w:rStyle w:val="A0"/>
          <w:rFonts w:cs="Arial"/>
          <w:b/>
          <w:bCs/>
          <w:color w:val="auto"/>
          <w:szCs w:val="20"/>
        </w:rPr>
        <w:instrText>SECTION 305 – SUBGRADE AND SHOULDERS</w:instrText>
      </w:r>
      <w:r w:rsidR="001D0296">
        <w:rPr>
          <w:rStyle w:val="A0"/>
          <w:rFonts w:cs="Arial"/>
          <w:b/>
          <w:bCs/>
          <w:color w:val="auto"/>
          <w:szCs w:val="20"/>
        </w:rPr>
        <w:instrText xml:space="preserve">    </w:instrText>
      </w:r>
      <w:r w:rsidR="001D0296" w:rsidRPr="001D0296">
        <w:rPr>
          <w:rStyle w:val="A0"/>
          <w:rFonts w:cs="Arial"/>
          <w:bCs/>
          <w:color w:val="auto"/>
          <w:szCs w:val="20"/>
        </w:rPr>
        <w:instrText>6-2-20</w:instrText>
      </w:r>
      <w:r w:rsidR="001D0296">
        <w:instrText xml:space="preserve">" \f C \l "1" </w:instrText>
      </w:r>
      <w:r w:rsidR="001D0296">
        <w:rPr>
          <w:rStyle w:val="A0"/>
          <w:rFonts w:cs="Arial"/>
          <w:b/>
          <w:bCs/>
          <w:color w:val="auto"/>
          <w:szCs w:val="20"/>
        </w:rPr>
        <w:fldChar w:fldCharType="end"/>
      </w:r>
    </w:p>
    <w:p w14:paraId="4751A4B2" w14:textId="77777777" w:rsidR="00FF5F38" w:rsidRPr="00FF5F38" w:rsidRDefault="00FF5F38" w:rsidP="00137139">
      <w:pPr>
        <w:rPr>
          <w:rStyle w:val="A0"/>
          <w:rFonts w:cs="Arial"/>
          <w:bCs/>
          <w:color w:val="auto"/>
          <w:szCs w:val="20"/>
        </w:rPr>
      </w:pPr>
    </w:p>
    <w:p w14:paraId="74308E8D" w14:textId="22280A2C" w:rsidR="00246F2A" w:rsidRDefault="00246F2A" w:rsidP="00137139">
      <w:pPr>
        <w:rPr>
          <w:rStyle w:val="A0"/>
          <w:rFonts w:cs="Arial"/>
          <w:bCs/>
          <w:color w:val="auto"/>
          <w:szCs w:val="20"/>
        </w:rPr>
      </w:pPr>
      <w:r>
        <w:rPr>
          <w:rStyle w:val="A0"/>
          <w:rFonts w:cs="Arial"/>
          <w:b/>
          <w:bCs/>
          <w:color w:val="auto"/>
          <w:szCs w:val="20"/>
        </w:rPr>
        <w:t>SECTION 305 – SUBGRADE AND SHOULDERS</w:t>
      </w:r>
      <w:r>
        <w:rPr>
          <w:rStyle w:val="A0"/>
          <w:rFonts w:cs="Arial"/>
          <w:bCs/>
          <w:color w:val="auto"/>
          <w:szCs w:val="20"/>
        </w:rPr>
        <w:t xml:space="preserve"> of the Specifications is amended as follows:</w:t>
      </w:r>
    </w:p>
    <w:p w14:paraId="751AF4BA" w14:textId="77777777" w:rsidR="00FF5F38" w:rsidRPr="00246F2A" w:rsidRDefault="00FF5F38" w:rsidP="00137139"/>
    <w:p w14:paraId="09C937E1" w14:textId="262B6CFF" w:rsidR="00206B72" w:rsidRDefault="00DD2B96" w:rsidP="00137139">
      <w:pPr>
        <w:ind w:left="360"/>
        <w:rPr>
          <w:rStyle w:val="A0"/>
          <w:rFonts w:cs="Arial"/>
          <w:color w:val="auto"/>
          <w:szCs w:val="20"/>
        </w:rPr>
      </w:pPr>
      <w:r>
        <w:rPr>
          <w:rStyle w:val="A0"/>
          <w:rFonts w:cs="Arial"/>
          <w:b/>
          <w:color w:val="auto"/>
          <w:szCs w:val="20"/>
        </w:rPr>
        <w:t>Section 305.02 – Materials</w:t>
      </w:r>
      <w:r>
        <w:rPr>
          <w:rStyle w:val="A0"/>
          <w:rFonts w:cs="Arial"/>
          <w:color w:val="auto"/>
          <w:szCs w:val="20"/>
        </w:rPr>
        <w:t xml:space="preserve"> is replaced with the following:</w:t>
      </w:r>
    </w:p>
    <w:p w14:paraId="6B013BFD" w14:textId="77777777" w:rsidR="00FF5F38" w:rsidRDefault="00FF5F38" w:rsidP="00137139">
      <w:pPr>
        <w:ind w:left="360"/>
        <w:rPr>
          <w:rStyle w:val="A0"/>
          <w:rFonts w:cs="Arial"/>
          <w:color w:val="auto"/>
          <w:szCs w:val="20"/>
        </w:rPr>
      </w:pPr>
    </w:p>
    <w:p w14:paraId="0FDF137B" w14:textId="29675272" w:rsidR="00206B72" w:rsidRDefault="00206B72" w:rsidP="00137139">
      <w:pPr>
        <w:ind w:left="1080" w:hanging="360"/>
      </w:pPr>
      <w:r>
        <w:t>(a)</w:t>
      </w:r>
      <w:r>
        <w:tab/>
      </w:r>
      <w:r w:rsidRPr="00206B72">
        <w:rPr>
          <w:b/>
        </w:rPr>
        <w:t>Materials</w:t>
      </w:r>
      <w:r w:rsidRPr="00206B72">
        <w:t xml:space="preserve"> may consist of material in place, treated material in place, or imported material. Imported material may be borrow material, select material, or other material as shown on the plans or specified in the Contract.</w:t>
      </w:r>
    </w:p>
    <w:p w14:paraId="7BD2AADD" w14:textId="77777777" w:rsidR="00FF5F38" w:rsidRPr="00206B72" w:rsidRDefault="00FF5F38" w:rsidP="00137139">
      <w:pPr>
        <w:ind w:left="1080" w:hanging="360"/>
      </w:pPr>
    </w:p>
    <w:p w14:paraId="7BFB1166" w14:textId="5BF1DD1D" w:rsidR="00206B72" w:rsidRDefault="00206B72" w:rsidP="00137139">
      <w:pPr>
        <w:ind w:left="1080"/>
      </w:pPr>
      <w:r w:rsidRPr="00206B72">
        <w:t xml:space="preserve">Materials other than regular excavation or borrow material that are shown on the </w:t>
      </w:r>
      <w:r>
        <w:t>P</w:t>
      </w:r>
      <w:r w:rsidRPr="00206B72">
        <w:t>lans or specified in the Contract shall conform to the applicable requirements of these Specifications.</w:t>
      </w:r>
    </w:p>
    <w:p w14:paraId="68BC930D" w14:textId="77777777" w:rsidR="00FF5F38" w:rsidRPr="00206B72" w:rsidRDefault="00FF5F38" w:rsidP="00137139">
      <w:pPr>
        <w:ind w:left="1080"/>
      </w:pPr>
    </w:p>
    <w:p w14:paraId="3A48778F" w14:textId="25623AAF" w:rsidR="00206B72" w:rsidRDefault="00206B72" w:rsidP="00137139">
      <w:pPr>
        <w:ind w:left="1080" w:hanging="360"/>
      </w:pPr>
      <w:r>
        <w:t>(b)</w:t>
      </w:r>
      <w:r>
        <w:tab/>
      </w:r>
      <w:r w:rsidRPr="00206B72">
        <w:rPr>
          <w:b/>
        </w:rPr>
        <w:t>Geotextile</w:t>
      </w:r>
      <w:r w:rsidRPr="00206B72">
        <w:t xml:space="preserve"> materials used for subgrade stabilization</w:t>
      </w:r>
      <w:r>
        <w:t xml:space="preserve"> or separation</w:t>
      </w:r>
      <w:r w:rsidRPr="00206B72">
        <w:t xml:space="preserve"> shall conform to Section 245.03(d).</w:t>
      </w:r>
    </w:p>
    <w:p w14:paraId="447200B3" w14:textId="77777777" w:rsidR="00FF5F38" w:rsidRPr="00206B72" w:rsidRDefault="00FF5F38" w:rsidP="00137139">
      <w:pPr>
        <w:ind w:left="1080" w:hanging="360"/>
      </w:pPr>
    </w:p>
    <w:p w14:paraId="6E9CB9CD" w14:textId="6491A48C" w:rsidR="00246F2A" w:rsidRDefault="00246F2A" w:rsidP="00137139">
      <w:pPr>
        <w:pStyle w:val="Pa1"/>
        <w:spacing w:line="240" w:lineRule="auto"/>
        <w:ind w:left="360"/>
        <w:jc w:val="both"/>
        <w:rPr>
          <w:rStyle w:val="A0"/>
          <w:rFonts w:cs="Arial"/>
          <w:color w:val="auto"/>
          <w:szCs w:val="20"/>
        </w:rPr>
      </w:pPr>
      <w:r>
        <w:rPr>
          <w:rStyle w:val="A0"/>
          <w:rFonts w:cs="Arial"/>
          <w:b/>
          <w:color w:val="auto"/>
          <w:szCs w:val="20"/>
        </w:rPr>
        <w:t>Section 305</w:t>
      </w:r>
      <w:r w:rsidR="00206B72">
        <w:rPr>
          <w:rStyle w:val="A0"/>
          <w:rFonts w:cs="Arial"/>
          <w:b/>
          <w:color w:val="auto"/>
          <w:szCs w:val="20"/>
        </w:rPr>
        <w:t>.03</w:t>
      </w:r>
      <w:r>
        <w:rPr>
          <w:rStyle w:val="A0"/>
          <w:rFonts w:cs="Arial"/>
          <w:b/>
          <w:color w:val="auto"/>
          <w:szCs w:val="20"/>
        </w:rPr>
        <w:t>(d) – Geotextile (Subgrade Stabilization)</w:t>
      </w:r>
      <w:r>
        <w:rPr>
          <w:rStyle w:val="A0"/>
          <w:rFonts w:cs="Arial"/>
          <w:color w:val="auto"/>
          <w:szCs w:val="20"/>
        </w:rPr>
        <w:t xml:space="preserve"> is renamed </w:t>
      </w:r>
      <w:proofErr w:type="spellStart"/>
      <w:r>
        <w:rPr>
          <w:rStyle w:val="A0"/>
          <w:rFonts w:cs="Arial"/>
          <w:b/>
          <w:color w:val="auto"/>
          <w:szCs w:val="20"/>
        </w:rPr>
        <w:t>Geosynthetics</w:t>
      </w:r>
      <w:proofErr w:type="spellEnd"/>
      <w:r>
        <w:rPr>
          <w:rStyle w:val="A0"/>
          <w:rFonts w:cs="Arial"/>
          <w:color w:val="auto"/>
          <w:szCs w:val="20"/>
        </w:rPr>
        <w:t xml:space="preserve"> and replaced with the following:</w:t>
      </w:r>
    </w:p>
    <w:p w14:paraId="426280AD" w14:textId="77777777" w:rsidR="00FF5F38" w:rsidRPr="00FF5F38" w:rsidRDefault="00FF5F38" w:rsidP="00137139">
      <w:pPr>
        <w:pStyle w:val="Default"/>
      </w:pPr>
    </w:p>
    <w:p w14:paraId="0CDBA526" w14:textId="57EF4350" w:rsidR="00D011BD" w:rsidRDefault="00D011BD" w:rsidP="00137139">
      <w:pPr>
        <w:pStyle w:val="Pa1"/>
        <w:spacing w:line="240" w:lineRule="auto"/>
        <w:ind w:left="720"/>
        <w:jc w:val="both"/>
        <w:rPr>
          <w:rStyle w:val="A0"/>
          <w:rFonts w:cs="Arial"/>
          <w:bCs/>
          <w:color w:val="auto"/>
          <w:szCs w:val="20"/>
        </w:rPr>
      </w:pPr>
      <w:proofErr w:type="spellStart"/>
      <w:r>
        <w:rPr>
          <w:rStyle w:val="A0"/>
          <w:rFonts w:cs="Arial"/>
          <w:b/>
          <w:bCs/>
          <w:color w:val="auto"/>
          <w:szCs w:val="20"/>
        </w:rPr>
        <w:t>Geosynthetics</w:t>
      </w:r>
      <w:proofErr w:type="spellEnd"/>
      <w:r>
        <w:rPr>
          <w:rStyle w:val="A0"/>
          <w:rFonts w:cs="Arial"/>
          <w:bCs/>
          <w:color w:val="auto"/>
          <w:szCs w:val="20"/>
        </w:rPr>
        <w:t xml:space="preserve"> include</w:t>
      </w:r>
      <w:r w:rsidR="00D7547C">
        <w:rPr>
          <w:rStyle w:val="A0"/>
          <w:rFonts w:cs="Arial"/>
          <w:bCs/>
          <w:color w:val="auto"/>
          <w:szCs w:val="20"/>
        </w:rPr>
        <w:t>s</w:t>
      </w:r>
      <w:r>
        <w:rPr>
          <w:rStyle w:val="A0"/>
          <w:rFonts w:cs="Arial"/>
          <w:bCs/>
          <w:color w:val="auto"/>
          <w:szCs w:val="20"/>
        </w:rPr>
        <w:t xml:space="preserve"> Geotextile </w:t>
      </w:r>
      <w:r w:rsidR="00DD2B96">
        <w:rPr>
          <w:rStyle w:val="A0"/>
          <w:rFonts w:cs="Arial"/>
          <w:bCs/>
          <w:color w:val="auto"/>
          <w:szCs w:val="20"/>
        </w:rPr>
        <w:t>used for s</w:t>
      </w:r>
      <w:r>
        <w:rPr>
          <w:rStyle w:val="A0"/>
          <w:rFonts w:cs="Arial"/>
          <w:bCs/>
          <w:color w:val="auto"/>
          <w:szCs w:val="20"/>
        </w:rPr>
        <w:t xml:space="preserve">ubgrade </w:t>
      </w:r>
      <w:r w:rsidR="00DD2B96">
        <w:rPr>
          <w:rStyle w:val="A0"/>
          <w:rFonts w:cs="Arial"/>
          <w:bCs/>
          <w:color w:val="auto"/>
          <w:szCs w:val="20"/>
        </w:rPr>
        <w:t>s</w:t>
      </w:r>
      <w:r>
        <w:rPr>
          <w:rStyle w:val="A0"/>
          <w:rFonts w:cs="Arial"/>
          <w:bCs/>
          <w:color w:val="auto"/>
          <w:szCs w:val="20"/>
        </w:rPr>
        <w:t xml:space="preserve">eparation </w:t>
      </w:r>
      <w:r w:rsidR="00D7547C">
        <w:rPr>
          <w:rStyle w:val="A0"/>
          <w:rFonts w:cs="Arial"/>
          <w:bCs/>
          <w:color w:val="auto"/>
          <w:szCs w:val="20"/>
        </w:rPr>
        <w:t xml:space="preserve">or </w:t>
      </w:r>
      <w:r w:rsidR="00DD2B96">
        <w:rPr>
          <w:rStyle w:val="A0"/>
          <w:rFonts w:cs="Arial"/>
          <w:bCs/>
          <w:color w:val="auto"/>
          <w:szCs w:val="20"/>
        </w:rPr>
        <w:t>s</w:t>
      </w:r>
      <w:r w:rsidR="00261C6B" w:rsidRPr="00D011BD">
        <w:rPr>
          <w:rStyle w:val="A0"/>
          <w:rFonts w:cs="Arial"/>
          <w:bCs/>
          <w:color w:val="auto"/>
          <w:szCs w:val="20"/>
        </w:rPr>
        <w:t>tabilization</w:t>
      </w:r>
      <w:r>
        <w:rPr>
          <w:rStyle w:val="A0"/>
          <w:rFonts w:cs="Arial"/>
          <w:bCs/>
          <w:color w:val="auto"/>
          <w:szCs w:val="20"/>
        </w:rPr>
        <w:t xml:space="preserve">, and </w:t>
      </w:r>
      <w:proofErr w:type="spellStart"/>
      <w:r>
        <w:rPr>
          <w:rStyle w:val="A0"/>
          <w:rFonts w:cs="Arial"/>
          <w:bCs/>
          <w:color w:val="auto"/>
          <w:szCs w:val="20"/>
        </w:rPr>
        <w:t>geogrid</w:t>
      </w:r>
      <w:proofErr w:type="spellEnd"/>
      <w:r>
        <w:rPr>
          <w:rStyle w:val="A0"/>
          <w:rFonts w:cs="Arial"/>
          <w:bCs/>
          <w:color w:val="auto"/>
          <w:szCs w:val="20"/>
        </w:rPr>
        <w:t>.</w:t>
      </w:r>
    </w:p>
    <w:p w14:paraId="10F6456F" w14:textId="77777777" w:rsidR="00FF5F38" w:rsidRPr="00FF5F38" w:rsidRDefault="00FF5F38" w:rsidP="00137139">
      <w:pPr>
        <w:pStyle w:val="Default"/>
      </w:pPr>
    </w:p>
    <w:p w14:paraId="4387B9BC" w14:textId="026FE83A" w:rsidR="00D011BD" w:rsidRDefault="00D011BD" w:rsidP="00137139">
      <w:pPr>
        <w:pStyle w:val="ListParagraph"/>
        <w:numPr>
          <w:ilvl w:val="1"/>
          <w:numId w:val="3"/>
        </w:numPr>
        <w:ind w:left="1080"/>
        <w:contextualSpacing w:val="0"/>
        <w:jc w:val="both"/>
      </w:pPr>
      <w:r w:rsidRPr="00847361">
        <w:rPr>
          <w:b/>
          <w:bCs/>
        </w:rPr>
        <w:t xml:space="preserve">Subsurface preparation: </w:t>
      </w:r>
      <w:r w:rsidRPr="00847361">
        <w:t xml:space="preserve">Before placing the geotextile, geogrid, or combination of both, prepare the subgrade in accordance with Sections 304 and 305. Separation and stabilization geotextiles shall not be placed when weather conditions, in the </w:t>
      </w:r>
      <w:r w:rsidR="00206B72">
        <w:t>judgement</w:t>
      </w:r>
      <w:r w:rsidRPr="00847361">
        <w:t xml:space="preserve"> of the Engineer, are not suitable to allow placement of geotextiles or cover materials. These include wet or snowy conditions, rainfall, temperatures below freezing, frost, or excessively windy conditions.</w:t>
      </w:r>
    </w:p>
    <w:p w14:paraId="1A2CB83D" w14:textId="77777777" w:rsidR="00FF5F38" w:rsidRDefault="00FF5F38" w:rsidP="00137139">
      <w:pPr>
        <w:pStyle w:val="ListParagraph"/>
        <w:ind w:left="1080"/>
        <w:contextualSpacing w:val="0"/>
        <w:jc w:val="both"/>
      </w:pPr>
    </w:p>
    <w:p w14:paraId="00F62686" w14:textId="40A4B45C" w:rsidR="00D011BD" w:rsidRDefault="00D011BD" w:rsidP="00137139">
      <w:pPr>
        <w:pStyle w:val="ListParagraph"/>
        <w:numPr>
          <w:ilvl w:val="1"/>
          <w:numId w:val="3"/>
        </w:numPr>
        <w:ind w:left="1080"/>
        <w:contextualSpacing w:val="0"/>
        <w:jc w:val="both"/>
      </w:pPr>
      <w:r w:rsidRPr="00847361">
        <w:rPr>
          <w:b/>
          <w:bCs/>
        </w:rPr>
        <w:t xml:space="preserve">Geotextile or </w:t>
      </w:r>
      <w:proofErr w:type="spellStart"/>
      <w:r w:rsidRPr="00847361">
        <w:rPr>
          <w:b/>
          <w:bCs/>
        </w:rPr>
        <w:t>geogrid</w:t>
      </w:r>
      <w:proofErr w:type="spellEnd"/>
      <w:r w:rsidRPr="00847361">
        <w:rPr>
          <w:b/>
          <w:bCs/>
        </w:rPr>
        <w:t xml:space="preserve"> placement. </w:t>
      </w:r>
      <w:r w:rsidRPr="00847361">
        <w:t xml:space="preserve">Place geogrid on top of geotextile when both are shown at the same elevation in the </w:t>
      </w:r>
      <w:r w:rsidR="005A5A02">
        <w:t>P</w:t>
      </w:r>
      <w:r w:rsidRPr="00847361">
        <w:t>lans. Place the geosynthetic in the direction of traffic. Geosynthetic shall be smooth and free of wrinkles and folds. Placement by dragging the geosynthetic across the finished surface will not be allowed. On curves, the geotextile may be folded or cut to conform to the curve. The fold or overlap shall be in the direction of traffic and held in place by pins, staples or piles of aggregate subbase or base materials. Overlap in the direction of construction. Overlap at least 24 inches at the ends and sides of adjoining sheets or sew the joints according to the Manufacturer’s recommendations. Do not place longitudinal overlaps below anticipated wheel loads or joints. Hold the geosynthetic in place with pins, staples, or piles of aggregate subbase or base materials.</w:t>
      </w:r>
    </w:p>
    <w:p w14:paraId="09A800BF" w14:textId="77777777" w:rsidR="00FF5F38" w:rsidRDefault="00FF5F38" w:rsidP="00137139">
      <w:pPr>
        <w:pStyle w:val="ListParagraph"/>
        <w:ind w:left="1080"/>
        <w:contextualSpacing w:val="0"/>
        <w:jc w:val="both"/>
      </w:pPr>
    </w:p>
    <w:p w14:paraId="509E9CE8" w14:textId="0D315244" w:rsidR="00D011BD" w:rsidRDefault="00D011BD" w:rsidP="00137139">
      <w:pPr>
        <w:ind w:left="1080"/>
        <w:jc w:val="both"/>
      </w:pPr>
      <w:r w:rsidRPr="00847361">
        <w:t>Replace or repair geosynthetic that is torn or punctured. Remove the damaged area and place a patch of the same type of geosynthetic overlapping 36 inches beyond the damaged area or sew a seam around the entire perimeter of the damaged area.</w:t>
      </w:r>
    </w:p>
    <w:p w14:paraId="382DBAFE" w14:textId="77777777" w:rsidR="00FF5F38" w:rsidRDefault="00FF5F38" w:rsidP="00137139">
      <w:pPr>
        <w:ind w:left="1080"/>
        <w:jc w:val="both"/>
      </w:pPr>
    </w:p>
    <w:p w14:paraId="17EF8FB7" w14:textId="0B09252D" w:rsidR="00D011BD" w:rsidRPr="00FF5F38" w:rsidRDefault="00D011BD" w:rsidP="00137139">
      <w:pPr>
        <w:pStyle w:val="ListParagraph"/>
        <w:numPr>
          <w:ilvl w:val="1"/>
          <w:numId w:val="3"/>
        </w:numPr>
        <w:ind w:left="1080"/>
        <w:jc w:val="both"/>
      </w:pPr>
      <w:r w:rsidRPr="00847361">
        <w:rPr>
          <w:b/>
          <w:bCs/>
        </w:rPr>
        <w:t>Initial layer placement and compaction:</w:t>
      </w:r>
      <w:r w:rsidRPr="00847361">
        <w:rPr>
          <w:bCs/>
        </w:rPr>
        <w:t xml:space="preserve"> Place initial layer in accordance with Sections 308 and 309.</w:t>
      </w:r>
    </w:p>
    <w:p w14:paraId="78E3E059" w14:textId="77777777" w:rsidR="00FF5F38" w:rsidRPr="00D011BD" w:rsidRDefault="00FF5F38" w:rsidP="00137139">
      <w:pPr>
        <w:pStyle w:val="ListParagraph"/>
        <w:ind w:left="1080"/>
        <w:jc w:val="both"/>
      </w:pPr>
    </w:p>
    <w:p w14:paraId="6DE731F3" w14:textId="5922AE97" w:rsidR="00D0411E" w:rsidRDefault="00D0411E" w:rsidP="00137139">
      <w:pPr>
        <w:ind w:left="1080"/>
        <w:jc w:val="both"/>
      </w:pPr>
      <w:r w:rsidRPr="00847361">
        <w:t xml:space="preserve">If </w:t>
      </w:r>
      <w:r>
        <w:t xml:space="preserve">during placement of the geosynthetic, the </w:t>
      </w:r>
      <w:r w:rsidRPr="00847361">
        <w:t xml:space="preserve">equipment causes subgrade rutting in excess of 2 inches, end dump the backfill material onto the geotextile or geogrid from the edge of the geosynthetic or from previously placed cover material. Do not operate equipment directly on the geosynthetic. Spread the end-dumped pile of cover material maintaining the minimum specified lift thickness over the geosynthetic. Avoid sudden stops, starts, or turns of the construction equipment. Fill ruts from construction equipment with additional cover material. Do not blade material down to remove ruts. If rutting </w:t>
      </w:r>
      <w:r w:rsidR="00A26474">
        <w:t xml:space="preserve">continues to </w:t>
      </w:r>
      <w:r w:rsidRPr="00847361">
        <w:t>exceed 2 inches during placement, decrease the construction equipment size, decrease the equipment weight, or increase the first lift thickness as directed by the Engineer.</w:t>
      </w:r>
    </w:p>
    <w:p w14:paraId="2290C53A" w14:textId="77777777" w:rsidR="00FF5F38" w:rsidRDefault="00FF5F38" w:rsidP="00137139">
      <w:pPr>
        <w:ind w:left="1080"/>
        <w:jc w:val="both"/>
      </w:pPr>
    </w:p>
    <w:p w14:paraId="5974183C" w14:textId="26EB0AE7" w:rsidR="00D0411E" w:rsidRDefault="00D0411E" w:rsidP="00137139">
      <w:pPr>
        <w:ind w:left="1080"/>
        <w:jc w:val="both"/>
      </w:pPr>
      <w:r w:rsidRPr="00847361">
        <w:t xml:space="preserve">Compact in accordance with Sections 308 and 309. Do not use </w:t>
      </w:r>
      <w:proofErr w:type="spellStart"/>
      <w:r w:rsidRPr="00847361">
        <w:t>sheepsfoot</w:t>
      </w:r>
      <w:proofErr w:type="spellEnd"/>
      <w:r w:rsidRPr="00847361">
        <w:t xml:space="preserve"> or studded compaction equipment. Compact the cover material with pneumatic-tire or non-vibratory smooth drum rollers.</w:t>
      </w:r>
    </w:p>
    <w:p w14:paraId="220E08AD" w14:textId="77777777" w:rsidR="00FF5F38" w:rsidRDefault="00FF5F38" w:rsidP="00137139">
      <w:pPr>
        <w:ind w:left="1080"/>
        <w:jc w:val="both"/>
      </w:pPr>
    </w:p>
    <w:p w14:paraId="694CAE16" w14:textId="0F6F96A3" w:rsidR="00D011BD" w:rsidRDefault="00D011BD" w:rsidP="00137139">
      <w:pPr>
        <w:ind w:left="1080"/>
        <w:jc w:val="both"/>
        <w:rPr>
          <w:iCs/>
        </w:rPr>
      </w:pPr>
      <w:r w:rsidRPr="00847361">
        <w:t>Tracked equipment shall not be operated directly on top of geosynthetic.</w:t>
      </w:r>
      <w:r w:rsidRPr="00847361">
        <w:rPr>
          <w:iCs/>
        </w:rPr>
        <w:t xml:space="preserve"> Rubber-tire equipment may pass over the geosynthetic</w:t>
      </w:r>
      <w:r w:rsidR="00D0411E">
        <w:rPr>
          <w:iCs/>
        </w:rPr>
        <w:t xml:space="preserve"> if the geosynthetic is not damaged by the equipment (causing excessive rutting, 2 inches or greater); the Contractor shall specifically avoid sudden braking or sharp turning, and shall maintain</w:t>
      </w:r>
      <w:r w:rsidRPr="00847361">
        <w:rPr>
          <w:iCs/>
        </w:rPr>
        <w:t xml:space="preserve"> low speed.</w:t>
      </w:r>
    </w:p>
    <w:p w14:paraId="46F2B11F" w14:textId="77777777" w:rsidR="00FF5F38" w:rsidRDefault="00FF5F38" w:rsidP="00137139">
      <w:pPr>
        <w:ind w:left="1080"/>
        <w:jc w:val="both"/>
        <w:rPr>
          <w:iCs/>
        </w:rPr>
      </w:pPr>
    </w:p>
    <w:p w14:paraId="6FE56181" w14:textId="6781DE28" w:rsidR="00D011BD" w:rsidRDefault="00D011BD" w:rsidP="00137139">
      <w:pPr>
        <w:pStyle w:val="ListParagraph"/>
        <w:numPr>
          <w:ilvl w:val="1"/>
          <w:numId w:val="3"/>
        </w:numPr>
        <w:ind w:left="1080"/>
        <w:jc w:val="both"/>
      </w:pPr>
      <w:r w:rsidRPr="00847361">
        <w:rPr>
          <w:b/>
          <w:bCs/>
        </w:rPr>
        <w:t xml:space="preserve">Subsequent layer placement and compaction. </w:t>
      </w:r>
      <w:r w:rsidRPr="00847361">
        <w:t>Place and compact subsequent layers in accordance with Sections 308 and 309.</w:t>
      </w:r>
    </w:p>
    <w:p w14:paraId="7C3493F2" w14:textId="77777777" w:rsidR="00FF5F38" w:rsidRPr="00D011BD" w:rsidRDefault="00FF5F38" w:rsidP="00137139">
      <w:pPr>
        <w:pStyle w:val="ListParagraph"/>
        <w:ind w:left="1080"/>
        <w:jc w:val="both"/>
      </w:pPr>
    </w:p>
    <w:p w14:paraId="6734C2D9" w14:textId="081CAEF1" w:rsidR="00261C6B" w:rsidRDefault="00246F2A" w:rsidP="00137139">
      <w:pPr>
        <w:pStyle w:val="Pa2"/>
        <w:spacing w:line="240" w:lineRule="auto"/>
        <w:ind w:left="360"/>
        <w:jc w:val="both"/>
        <w:rPr>
          <w:rStyle w:val="A0"/>
          <w:rFonts w:cs="Arial"/>
          <w:bCs/>
          <w:color w:val="auto"/>
          <w:szCs w:val="20"/>
        </w:rPr>
      </w:pPr>
      <w:r>
        <w:rPr>
          <w:rStyle w:val="A0"/>
          <w:rFonts w:cs="Arial"/>
          <w:b/>
          <w:bCs/>
          <w:color w:val="auto"/>
          <w:szCs w:val="20"/>
        </w:rPr>
        <w:t xml:space="preserve">Section </w:t>
      </w:r>
      <w:r w:rsidR="00261C6B">
        <w:rPr>
          <w:rStyle w:val="A0"/>
          <w:rFonts w:cs="Arial"/>
          <w:b/>
          <w:bCs/>
          <w:color w:val="auto"/>
          <w:szCs w:val="20"/>
        </w:rPr>
        <w:t>305.04 – Measurement and Payment</w:t>
      </w:r>
      <w:r>
        <w:rPr>
          <w:rStyle w:val="A0"/>
          <w:rFonts w:cs="Arial"/>
          <w:bCs/>
          <w:color w:val="auto"/>
          <w:szCs w:val="20"/>
        </w:rPr>
        <w:t xml:space="preserve"> is amended by replacing the tenth paragraph with the following:</w:t>
      </w:r>
    </w:p>
    <w:p w14:paraId="4F700920" w14:textId="77777777" w:rsidR="00FF5F38" w:rsidRPr="00FF5F38" w:rsidRDefault="00FF5F38" w:rsidP="00137139">
      <w:pPr>
        <w:pStyle w:val="Default"/>
      </w:pPr>
    </w:p>
    <w:p w14:paraId="2608B1C9" w14:textId="181AE599" w:rsidR="00246F2A" w:rsidRDefault="00261C6B" w:rsidP="00137139">
      <w:pPr>
        <w:pStyle w:val="Pa2"/>
        <w:spacing w:line="240" w:lineRule="auto"/>
        <w:ind w:left="720"/>
        <w:jc w:val="both"/>
        <w:rPr>
          <w:rStyle w:val="A0"/>
          <w:rFonts w:cs="Arial"/>
          <w:color w:val="auto"/>
          <w:szCs w:val="20"/>
        </w:rPr>
      </w:pPr>
      <w:r w:rsidRPr="00261C6B">
        <w:rPr>
          <w:rStyle w:val="A0"/>
          <w:rFonts w:cs="Arial"/>
          <w:b/>
          <w:bCs/>
          <w:color w:val="auto"/>
          <w:szCs w:val="20"/>
        </w:rPr>
        <w:t xml:space="preserve">Geotextile </w:t>
      </w:r>
      <w:r w:rsidRPr="00261C6B">
        <w:rPr>
          <w:rStyle w:val="A0"/>
          <w:rFonts w:cs="Arial"/>
          <w:color w:val="auto"/>
          <w:szCs w:val="20"/>
        </w:rPr>
        <w:t>will be measured in square yards, complete-in-place. Overlaps and seams will not be measured for separate payment. The accepted quantity of geotextile will be paid for at the contract square yard</w:t>
      </w:r>
      <w:r w:rsidR="00D011BD">
        <w:rPr>
          <w:rStyle w:val="A0"/>
          <w:rFonts w:cs="Arial"/>
          <w:color w:val="auto"/>
          <w:szCs w:val="20"/>
        </w:rPr>
        <w:t xml:space="preserve"> price</w:t>
      </w:r>
      <w:r w:rsidRPr="00261C6B">
        <w:rPr>
          <w:rStyle w:val="A0"/>
          <w:rFonts w:cs="Arial"/>
          <w:color w:val="auto"/>
          <w:szCs w:val="20"/>
        </w:rPr>
        <w:t>. This price shall include furnishing, placing</w:t>
      </w:r>
      <w:r>
        <w:rPr>
          <w:rStyle w:val="A0"/>
          <w:rFonts w:cs="Arial"/>
          <w:color w:val="auto"/>
          <w:szCs w:val="20"/>
        </w:rPr>
        <w:t xml:space="preserve">, lapping, </w:t>
      </w:r>
      <w:r w:rsidR="001E310F">
        <w:rPr>
          <w:rStyle w:val="A0"/>
          <w:rFonts w:cs="Arial"/>
          <w:color w:val="auto"/>
          <w:szCs w:val="20"/>
        </w:rPr>
        <w:t>and</w:t>
      </w:r>
      <w:r>
        <w:rPr>
          <w:rStyle w:val="A0"/>
          <w:rFonts w:cs="Arial"/>
          <w:color w:val="auto"/>
          <w:szCs w:val="20"/>
        </w:rPr>
        <w:t xml:space="preserve"> seaming material.</w:t>
      </w:r>
    </w:p>
    <w:p w14:paraId="5AE6D14F" w14:textId="77777777" w:rsidR="00FF5F38" w:rsidRPr="00FF5F38" w:rsidRDefault="00FF5F38" w:rsidP="00137139">
      <w:pPr>
        <w:pStyle w:val="Default"/>
      </w:pPr>
    </w:p>
    <w:p w14:paraId="4170AFB9" w14:textId="4882D3D4" w:rsidR="00246F2A" w:rsidRDefault="00246F2A" w:rsidP="00137139">
      <w:pPr>
        <w:pStyle w:val="Pa2"/>
        <w:spacing w:line="240" w:lineRule="auto"/>
        <w:ind w:left="360"/>
        <w:jc w:val="both"/>
        <w:rPr>
          <w:rStyle w:val="A0"/>
          <w:rFonts w:cs="Arial"/>
          <w:color w:val="auto"/>
          <w:szCs w:val="20"/>
        </w:rPr>
      </w:pPr>
      <w:r>
        <w:rPr>
          <w:rStyle w:val="A0"/>
          <w:rFonts w:cs="Arial"/>
          <w:b/>
          <w:color w:val="auto"/>
          <w:szCs w:val="20"/>
        </w:rPr>
        <w:t>Section 305.04 – Measurement and Payment</w:t>
      </w:r>
      <w:r>
        <w:rPr>
          <w:rStyle w:val="A0"/>
          <w:rFonts w:cs="Arial"/>
          <w:color w:val="auto"/>
          <w:szCs w:val="20"/>
        </w:rPr>
        <w:t xml:space="preserve"> is amended by revising the Pay Item Table as follows:</w:t>
      </w:r>
    </w:p>
    <w:p w14:paraId="5E053A2A" w14:textId="77777777" w:rsidR="00FF5F38" w:rsidRPr="00FF5F38" w:rsidRDefault="00FF5F38" w:rsidP="00137139">
      <w:pPr>
        <w:pStyle w:val="Default"/>
      </w:pPr>
    </w:p>
    <w:p w14:paraId="33AFA86E" w14:textId="63F89C6A" w:rsidR="00DD2B96" w:rsidRDefault="00DD2B96" w:rsidP="00137139">
      <w:pPr>
        <w:ind w:left="720"/>
        <w:rPr>
          <w:rStyle w:val="A0"/>
          <w:rFonts w:cs="Arial"/>
          <w:color w:val="auto"/>
          <w:szCs w:val="20"/>
        </w:rPr>
      </w:pPr>
      <w:r>
        <w:rPr>
          <w:rStyle w:val="A0"/>
          <w:rFonts w:cs="Arial"/>
          <w:color w:val="auto"/>
          <w:szCs w:val="20"/>
        </w:rPr>
        <w:t>The following pay items are removed:</w:t>
      </w:r>
    </w:p>
    <w:p w14:paraId="53956ABE" w14:textId="77777777" w:rsidR="00FF5F38" w:rsidRDefault="00FF5F38" w:rsidP="00137139">
      <w:pPr>
        <w:ind w:left="720"/>
        <w:rPr>
          <w:rStyle w:val="A0"/>
          <w:rFonts w:cs="Arial"/>
          <w:color w:val="auto"/>
          <w:szCs w:val="20"/>
        </w:rPr>
      </w:pPr>
    </w:p>
    <w:tbl>
      <w:tblPr>
        <w:tblStyle w:val="TableGrid"/>
        <w:tblW w:w="6300" w:type="dxa"/>
        <w:tblInd w:w="1008" w:type="dxa"/>
        <w:tblBorders>
          <w:left w:val="none" w:sz="0" w:space="0" w:color="auto"/>
          <w:right w:val="none" w:sz="0" w:space="0" w:color="auto"/>
          <w:insideV w:val="none" w:sz="0" w:space="0" w:color="auto"/>
        </w:tblBorders>
        <w:tblLook w:val="04A0" w:firstRow="1" w:lastRow="0" w:firstColumn="1" w:lastColumn="0" w:noHBand="0" w:noVBand="1"/>
      </w:tblPr>
      <w:tblGrid>
        <w:gridCol w:w="3870"/>
        <w:gridCol w:w="2430"/>
      </w:tblGrid>
      <w:tr w:rsidR="00DD2B96" w14:paraId="18304145" w14:textId="77777777" w:rsidTr="00DD2B96">
        <w:tc>
          <w:tcPr>
            <w:tcW w:w="3870" w:type="dxa"/>
          </w:tcPr>
          <w:p w14:paraId="6AAF9A13" w14:textId="5B255C4B" w:rsidR="00DD2B96" w:rsidRPr="00DD2B96" w:rsidRDefault="00DD2B96" w:rsidP="00137139">
            <w:pPr>
              <w:rPr>
                <w:b/>
              </w:rPr>
            </w:pPr>
            <w:r>
              <w:rPr>
                <w:b/>
              </w:rPr>
              <w:t>Pay Item</w:t>
            </w:r>
          </w:p>
        </w:tc>
        <w:tc>
          <w:tcPr>
            <w:tcW w:w="2430" w:type="dxa"/>
          </w:tcPr>
          <w:p w14:paraId="6DB6C854" w14:textId="23EF8172" w:rsidR="00DD2B96" w:rsidRPr="00DD2B96" w:rsidRDefault="00DD2B96" w:rsidP="00137139">
            <w:pPr>
              <w:rPr>
                <w:b/>
              </w:rPr>
            </w:pPr>
            <w:r>
              <w:rPr>
                <w:b/>
              </w:rPr>
              <w:t>Pay Unit</w:t>
            </w:r>
          </w:p>
        </w:tc>
      </w:tr>
      <w:tr w:rsidR="00DD2B96" w14:paraId="302F45FB" w14:textId="77777777" w:rsidTr="00DD2B96">
        <w:tc>
          <w:tcPr>
            <w:tcW w:w="3870" w:type="dxa"/>
          </w:tcPr>
          <w:p w14:paraId="0E44A632" w14:textId="5670CE75" w:rsidR="00DD2B96" w:rsidRDefault="00DD2B96" w:rsidP="00137139">
            <w:r>
              <w:t>Geotextile (Subgrade stabilization)</w:t>
            </w:r>
          </w:p>
        </w:tc>
        <w:tc>
          <w:tcPr>
            <w:tcW w:w="2430" w:type="dxa"/>
          </w:tcPr>
          <w:p w14:paraId="7AA8937E" w14:textId="152BFAAA" w:rsidR="00DD2B96" w:rsidRDefault="00DD2B96" w:rsidP="00137139">
            <w:r>
              <w:t>Square yard</w:t>
            </w:r>
          </w:p>
        </w:tc>
      </w:tr>
    </w:tbl>
    <w:p w14:paraId="3089FBAA" w14:textId="77777777" w:rsidR="00DD2B96" w:rsidRPr="00DD2B96" w:rsidRDefault="00DD2B96" w:rsidP="00137139">
      <w:pPr>
        <w:ind w:left="720"/>
      </w:pPr>
    </w:p>
    <w:p w14:paraId="00C3468F" w14:textId="262CEBDE" w:rsidR="00261C6B" w:rsidRDefault="00246F2A" w:rsidP="00137139">
      <w:pPr>
        <w:pStyle w:val="Pa2"/>
        <w:spacing w:line="240" w:lineRule="auto"/>
        <w:ind w:left="720"/>
        <w:jc w:val="both"/>
        <w:rPr>
          <w:rStyle w:val="A0"/>
          <w:rFonts w:cs="Arial"/>
          <w:color w:val="auto"/>
          <w:szCs w:val="20"/>
        </w:rPr>
      </w:pPr>
      <w:r>
        <w:rPr>
          <w:rStyle w:val="A0"/>
          <w:rFonts w:cs="Arial"/>
          <w:color w:val="auto"/>
          <w:szCs w:val="20"/>
        </w:rPr>
        <w:t>The following pay items are inserted</w:t>
      </w:r>
      <w:r w:rsidR="00261C6B" w:rsidRPr="00261C6B">
        <w:rPr>
          <w:rStyle w:val="A0"/>
          <w:rFonts w:cs="Arial"/>
          <w:color w:val="auto"/>
          <w:szCs w:val="20"/>
        </w:rPr>
        <w:t>:</w:t>
      </w:r>
    </w:p>
    <w:p w14:paraId="24616C42" w14:textId="77777777" w:rsidR="00FF5F38" w:rsidRPr="00FF5F38" w:rsidRDefault="00FF5F38" w:rsidP="00137139">
      <w:pPr>
        <w:pStyle w:val="Default"/>
      </w:pPr>
    </w:p>
    <w:tbl>
      <w:tblPr>
        <w:tblStyle w:val="TableGrid"/>
        <w:tblW w:w="0" w:type="auto"/>
        <w:tblInd w:w="1008"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2430"/>
      </w:tblGrid>
      <w:tr w:rsidR="00261C6B" w14:paraId="4982D6A0" w14:textId="77777777" w:rsidTr="00DD2B96">
        <w:tc>
          <w:tcPr>
            <w:tcW w:w="3870" w:type="dxa"/>
            <w:tcBorders>
              <w:top w:val="single" w:sz="4" w:space="0" w:color="auto"/>
              <w:bottom w:val="single" w:sz="4" w:space="0" w:color="auto"/>
            </w:tcBorders>
          </w:tcPr>
          <w:p w14:paraId="5E7695CB" w14:textId="77777777" w:rsidR="00261C6B" w:rsidRDefault="00261C6B" w:rsidP="00137139">
            <w:pPr>
              <w:pStyle w:val="Pa2"/>
              <w:spacing w:line="240" w:lineRule="auto"/>
              <w:jc w:val="both"/>
              <w:rPr>
                <w:rStyle w:val="A0"/>
                <w:rFonts w:cs="Arial"/>
                <w:color w:val="auto"/>
                <w:szCs w:val="20"/>
              </w:rPr>
            </w:pPr>
            <w:r w:rsidRPr="00261C6B">
              <w:rPr>
                <w:rStyle w:val="A0"/>
                <w:rFonts w:cs="Arial"/>
                <w:b/>
                <w:bCs/>
                <w:color w:val="auto"/>
                <w:szCs w:val="20"/>
              </w:rPr>
              <w:t>Pay Item</w:t>
            </w:r>
          </w:p>
        </w:tc>
        <w:tc>
          <w:tcPr>
            <w:tcW w:w="2430" w:type="dxa"/>
            <w:tcBorders>
              <w:top w:val="single" w:sz="4" w:space="0" w:color="auto"/>
              <w:bottom w:val="single" w:sz="4" w:space="0" w:color="auto"/>
            </w:tcBorders>
          </w:tcPr>
          <w:p w14:paraId="065D6F48" w14:textId="77777777" w:rsidR="00261C6B" w:rsidRDefault="00261C6B" w:rsidP="00137139">
            <w:pPr>
              <w:pStyle w:val="Pa2"/>
              <w:spacing w:line="240" w:lineRule="auto"/>
              <w:jc w:val="both"/>
              <w:rPr>
                <w:rStyle w:val="A0"/>
                <w:rFonts w:cs="Arial"/>
                <w:color w:val="auto"/>
                <w:szCs w:val="20"/>
              </w:rPr>
            </w:pPr>
            <w:r w:rsidRPr="00261C6B">
              <w:rPr>
                <w:rStyle w:val="A0"/>
                <w:rFonts w:cs="Arial"/>
                <w:b/>
                <w:bCs/>
                <w:color w:val="auto"/>
                <w:szCs w:val="20"/>
              </w:rPr>
              <w:t>Pay Unit</w:t>
            </w:r>
          </w:p>
        </w:tc>
      </w:tr>
      <w:tr w:rsidR="00D011BD" w14:paraId="2BF4D052" w14:textId="77777777" w:rsidTr="00DD2B96">
        <w:tc>
          <w:tcPr>
            <w:tcW w:w="3870" w:type="dxa"/>
          </w:tcPr>
          <w:p w14:paraId="7165AB49" w14:textId="7B01898B" w:rsidR="00D011BD" w:rsidRPr="00261C6B" w:rsidRDefault="00D011BD" w:rsidP="00137139">
            <w:pPr>
              <w:pStyle w:val="Pa2"/>
              <w:spacing w:line="240" w:lineRule="auto"/>
              <w:jc w:val="both"/>
              <w:rPr>
                <w:rStyle w:val="A0"/>
                <w:rFonts w:cs="Arial"/>
                <w:color w:val="auto"/>
                <w:szCs w:val="20"/>
              </w:rPr>
            </w:pPr>
            <w:r>
              <w:rPr>
                <w:rStyle w:val="A0"/>
                <w:rFonts w:cs="Arial"/>
                <w:color w:val="auto"/>
                <w:szCs w:val="20"/>
              </w:rPr>
              <w:t>Geotextile (</w:t>
            </w:r>
            <w:r w:rsidR="00DD2B96">
              <w:rPr>
                <w:rStyle w:val="A0"/>
                <w:rFonts w:cs="Arial"/>
                <w:color w:val="auto"/>
                <w:szCs w:val="20"/>
              </w:rPr>
              <w:t>type</w:t>
            </w:r>
            <w:r>
              <w:rPr>
                <w:rStyle w:val="A0"/>
                <w:rFonts w:cs="Arial"/>
                <w:color w:val="auto"/>
                <w:szCs w:val="20"/>
              </w:rPr>
              <w:t>)</w:t>
            </w:r>
          </w:p>
        </w:tc>
        <w:tc>
          <w:tcPr>
            <w:tcW w:w="2430" w:type="dxa"/>
          </w:tcPr>
          <w:p w14:paraId="64690515" w14:textId="0506A52B" w:rsidR="00D011BD" w:rsidRPr="00261C6B" w:rsidRDefault="00D011BD" w:rsidP="00137139">
            <w:pPr>
              <w:pStyle w:val="Pa2"/>
              <w:spacing w:line="240" w:lineRule="auto"/>
              <w:jc w:val="both"/>
              <w:rPr>
                <w:rStyle w:val="A0"/>
                <w:rFonts w:cs="Arial"/>
                <w:color w:val="auto"/>
                <w:szCs w:val="20"/>
              </w:rPr>
            </w:pPr>
            <w:r>
              <w:rPr>
                <w:rStyle w:val="A0"/>
                <w:rFonts w:cs="Arial"/>
                <w:color w:val="auto"/>
                <w:szCs w:val="20"/>
              </w:rPr>
              <w:t>S</w:t>
            </w:r>
            <w:r w:rsidR="00DD2B96">
              <w:rPr>
                <w:rStyle w:val="A0"/>
                <w:rFonts w:cs="Arial"/>
                <w:color w:val="auto"/>
                <w:szCs w:val="20"/>
              </w:rPr>
              <w:t>quare yard</w:t>
            </w:r>
          </w:p>
        </w:tc>
      </w:tr>
    </w:tbl>
    <w:p w14:paraId="01C2A47A" w14:textId="77777777" w:rsidR="002C3456" w:rsidRPr="00261C6B" w:rsidRDefault="002C3456" w:rsidP="00137139">
      <w:pPr>
        <w:pStyle w:val="ListParagraph"/>
        <w:ind w:left="360"/>
        <w:contextualSpacing w:val="0"/>
        <w:rPr>
          <w:rFonts w:cs="Arial"/>
          <w:szCs w:val="20"/>
        </w:rPr>
      </w:pPr>
    </w:p>
    <w:sectPr w:rsidR="002C3456" w:rsidRPr="00261C6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040B9A"/>
    <w:multiLevelType w:val="multilevel"/>
    <w:tmpl w:val="F04AFF18"/>
    <w:styleLink w:val="SpecialProvision"/>
    <w:lvl w:ilvl="0">
      <w:start w:val="1"/>
      <w:numFmt w:val="upperRoman"/>
      <w:lvlText w:val="%1."/>
      <w:lvlJc w:val="left"/>
      <w:pPr>
        <w:ind w:left="360" w:hanging="360"/>
      </w:pPr>
      <w:rPr>
        <w:rFonts w:ascii="Arial" w:hAnsi="Arial" w:hint="default"/>
        <w:sz w:val="20"/>
      </w:rPr>
    </w:lvl>
    <w:lvl w:ilvl="1">
      <w:start w:val="1"/>
      <w:numFmt w:val="decimal"/>
      <w:lvlText w:val="%2."/>
      <w:lvlJc w:val="left"/>
      <w:pPr>
        <w:ind w:left="720" w:hanging="360"/>
      </w:pPr>
      <w:rPr>
        <w:rFonts w:ascii="Arial" w:hAnsi="Arial" w:hint="default"/>
        <w:sz w:val="20"/>
      </w:rPr>
    </w:lvl>
    <w:lvl w:ilvl="2">
      <w:start w:val="1"/>
      <w:numFmt w:val="upperLetter"/>
      <w:lvlText w:val="%3."/>
      <w:lvlJc w:val="left"/>
      <w:pPr>
        <w:ind w:left="1080" w:hanging="360"/>
      </w:pPr>
      <w:rPr>
        <w:rFonts w:ascii="Arial" w:hAnsi="Arial" w:hint="default"/>
        <w:sz w:val="20"/>
      </w:rPr>
    </w:lvl>
    <w:lvl w:ilvl="3">
      <w:start w:val="1"/>
      <w:numFmt w:val="decimal"/>
      <w:lvlText w:val="(%4)"/>
      <w:lvlJc w:val="left"/>
      <w:pPr>
        <w:ind w:left="1440" w:hanging="360"/>
      </w:pPr>
      <w:rPr>
        <w:rFonts w:ascii="Arial" w:hAnsi="Arial" w:hint="default"/>
        <w:sz w:val="20"/>
      </w:rPr>
    </w:lvl>
    <w:lvl w:ilvl="4">
      <w:start w:val="1"/>
      <w:numFmt w:val="lowerLetter"/>
      <w:lvlText w:val="(%5)"/>
      <w:lvlJc w:val="left"/>
      <w:pPr>
        <w:ind w:left="1800" w:hanging="360"/>
      </w:pPr>
      <w:rPr>
        <w:rFonts w:ascii="Arial" w:hAnsi="Arial" w:hint="default"/>
        <w:sz w:val="2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397A2C62"/>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 w15:restartNumberingAfterBreak="0">
    <w:nsid w:val="3F49062A"/>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3" w15:restartNumberingAfterBreak="0">
    <w:nsid w:val="44E14008"/>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4" w15:restartNumberingAfterBreak="0">
    <w:nsid w:val="4DD361D9"/>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num w:numId="1">
    <w:abstractNumId w:val="0"/>
  </w:num>
  <w:num w:numId="2">
    <w:abstractNumId w:val="4"/>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Formatting/>
  <w:defaultTabStop w:val="36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62B5"/>
    <w:rsid w:val="00137139"/>
    <w:rsid w:val="001D0296"/>
    <w:rsid w:val="001E310F"/>
    <w:rsid w:val="00206B72"/>
    <w:rsid w:val="00215CBE"/>
    <w:rsid w:val="00246F2A"/>
    <w:rsid w:val="00261C6B"/>
    <w:rsid w:val="002C3456"/>
    <w:rsid w:val="002D6506"/>
    <w:rsid w:val="004D1625"/>
    <w:rsid w:val="005A5A02"/>
    <w:rsid w:val="00743FC4"/>
    <w:rsid w:val="007F62B5"/>
    <w:rsid w:val="00863094"/>
    <w:rsid w:val="00A26474"/>
    <w:rsid w:val="00A46486"/>
    <w:rsid w:val="00BC064E"/>
    <w:rsid w:val="00C521CA"/>
    <w:rsid w:val="00D011BD"/>
    <w:rsid w:val="00D0411E"/>
    <w:rsid w:val="00D7547C"/>
    <w:rsid w:val="00DD2B96"/>
    <w:rsid w:val="00FF5F38"/>
    <w:rsid w:val="0E720E8C"/>
    <w:rsid w:val="2CF14A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6D441A"/>
  <w15:docId w15:val="{A98BDE8A-9A1E-4546-9AE1-A583AD2EFA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7139"/>
    <w:pPr>
      <w:spacing w:after="0" w:line="240" w:lineRule="auto"/>
    </w:pPr>
    <w:rPr>
      <w:rFonts w:ascii="Arial" w:hAnsi="Arial"/>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pecialProvision">
    <w:name w:val="Special Provision"/>
    <w:rsid w:val="00BC064E"/>
    <w:pPr>
      <w:numPr>
        <w:numId w:val="1"/>
      </w:numPr>
    </w:pPr>
  </w:style>
  <w:style w:type="paragraph" w:styleId="ListParagraph">
    <w:name w:val="List Paragraph"/>
    <w:basedOn w:val="Normal"/>
    <w:uiPriority w:val="34"/>
    <w:qFormat/>
    <w:rsid w:val="007F62B5"/>
    <w:pPr>
      <w:ind w:left="720"/>
      <w:contextualSpacing/>
    </w:pPr>
  </w:style>
  <w:style w:type="paragraph" w:customStyle="1" w:styleId="Default">
    <w:name w:val="Default"/>
    <w:rsid w:val="00261C6B"/>
    <w:pPr>
      <w:autoSpaceDE w:val="0"/>
      <w:autoSpaceDN w:val="0"/>
      <w:adjustRightInd w:val="0"/>
      <w:spacing w:after="0" w:line="240" w:lineRule="auto"/>
    </w:pPr>
    <w:rPr>
      <w:rFonts w:ascii="TimesNewRomanPS" w:hAnsi="TimesNewRomanPS" w:cs="TimesNewRomanPS"/>
      <w:color w:val="000000"/>
      <w:sz w:val="24"/>
      <w:szCs w:val="24"/>
    </w:rPr>
  </w:style>
  <w:style w:type="paragraph" w:customStyle="1" w:styleId="Pa0">
    <w:name w:val="Pa0"/>
    <w:basedOn w:val="Default"/>
    <w:next w:val="Default"/>
    <w:uiPriority w:val="99"/>
    <w:rsid w:val="00261C6B"/>
    <w:pPr>
      <w:spacing w:line="241" w:lineRule="atLeast"/>
    </w:pPr>
    <w:rPr>
      <w:rFonts w:cstheme="minorBidi"/>
      <w:color w:val="auto"/>
    </w:rPr>
  </w:style>
  <w:style w:type="character" w:customStyle="1" w:styleId="A2">
    <w:name w:val="A2"/>
    <w:uiPriority w:val="99"/>
    <w:rsid w:val="00261C6B"/>
    <w:rPr>
      <w:rFonts w:cs="TimesNewRomanPS"/>
      <w:b/>
      <w:bCs/>
      <w:color w:val="000000"/>
      <w:sz w:val="20"/>
      <w:szCs w:val="20"/>
    </w:rPr>
  </w:style>
  <w:style w:type="paragraph" w:customStyle="1" w:styleId="Pa1">
    <w:name w:val="Pa1"/>
    <w:basedOn w:val="Default"/>
    <w:next w:val="Default"/>
    <w:uiPriority w:val="99"/>
    <w:rsid w:val="00261C6B"/>
    <w:pPr>
      <w:spacing w:line="241" w:lineRule="atLeast"/>
    </w:pPr>
    <w:rPr>
      <w:rFonts w:cstheme="minorBidi"/>
      <w:color w:val="auto"/>
    </w:rPr>
  </w:style>
  <w:style w:type="character" w:customStyle="1" w:styleId="A0">
    <w:name w:val="A0"/>
    <w:uiPriority w:val="99"/>
    <w:rsid w:val="00D011BD"/>
    <w:rPr>
      <w:rFonts w:ascii="Arial" w:hAnsi="Arial" w:cs="TimesNewRomanPS"/>
      <w:color w:val="000000"/>
      <w:sz w:val="20"/>
      <w:szCs w:val="18"/>
    </w:rPr>
  </w:style>
  <w:style w:type="paragraph" w:customStyle="1" w:styleId="Pa4">
    <w:name w:val="Pa4"/>
    <w:basedOn w:val="Default"/>
    <w:next w:val="Default"/>
    <w:uiPriority w:val="99"/>
    <w:rsid w:val="00261C6B"/>
    <w:pPr>
      <w:spacing w:line="241" w:lineRule="atLeast"/>
    </w:pPr>
    <w:rPr>
      <w:rFonts w:cstheme="minorBidi"/>
      <w:color w:val="auto"/>
    </w:rPr>
  </w:style>
  <w:style w:type="paragraph" w:customStyle="1" w:styleId="Pa7">
    <w:name w:val="Pa7"/>
    <w:basedOn w:val="Default"/>
    <w:next w:val="Default"/>
    <w:uiPriority w:val="99"/>
    <w:rsid w:val="00261C6B"/>
    <w:pPr>
      <w:spacing w:line="241" w:lineRule="atLeast"/>
    </w:pPr>
    <w:rPr>
      <w:rFonts w:cstheme="minorBidi"/>
      <w:color w:val="auto"/>
    </w:rPr>
  </w:style>
  <w:style w:type="paragraph" w:customStyle="1" w:styleId="Pa6">
    <w:name w:val="Pa6"/>
    <w:basedOn w:val="Default"/>
    <w:next w:val="Default"/>
    <w:uiPriority w:val="99"/>
    <w:rsid w:val="00261C6B"/>
    <w:pPr>
      <w:spacing w:line="241" w:lineRule="atLeast"/>
    </w:pPr>
    <w:rPr>
      <w:rFonts w:cstheme="minorBidi"/>
      <w:color w:val="auto"/>
    </w:rPr>
  </w:style>
  <w:style w:type="paragraph" w:customStyle="1" w:styleId="Pa3">
    <w:name w:val="Pa3"/>
    <w:basedOn w:val="Default"/>
    <w:next w:val="Default"/>
    <w:uiPriority w:val="99"/>
    <w:rsid w:val="00261C6B"/>
    <w:pPr>
      <w:spacing w:line="241" w:lineRule="atLeast"/>
    </w:pPr>
    <w:rPr>
      <w:rFonts w:cstheme="minorBidi"/>
      <w:color w:val="auto"/>
    </w:rPr>
  </w:style>
  <w:style w:type="paragraph" w:customStyle="1" w:styleId="Pa2">
    <w:name w:val="Pa2"/>
    <w:basedOn w:val="Default"/>
    <w:next w:val="Default"/>
    <w:uiPriority w:val="99"/>
    <w:rsid w:val="00261C6B"/>
    <w:pPr>
      <w:spacing w:line="241" w:lineRule="atLeast"/>
    </w:pPr>
    <w:rPr>
      <w:rFonts w:cstheme="minorBidi"/>
      <w:color w:val="auto"/>
    </w:rPr>
  </w:style>
  <w:style w:type="paragraph" w:customStyle="1" w:styleId="Pa5">
    <w:name w:val="Pa5"/>
    <w:basedOn w:val="Default"/>
    <w:next w:val="Default"/>
    <w:uiPriority w:val="99"/>
    <w:rsid w:val="00261C6B"/>
    <w:pPr>
      <w:spacing w:line="241" w:lineRule="atLeast"/>
    </w:pPr>
    <w:rPr>
      <w:rFonts w:cstheme="minorBidi"/>
      <w:color w:val="auto"/>
    </w:rPr>
  </w:style>
  <w:style w:type="table" w:styleId="TableGrid">
    <w:name w:val="Table Grid"/>
    <w:basedOn w:val="TableNormal"/>
    <w:uiPriority w:val="59"/>
    <w:rsid w:val="00261C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011B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11B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tatus xmlns="2328571d-b9d5-471b-8d96-2ccb743ec3d4">Active</Status>
    <Expiration_x0020_Date0 xmlns="2328571d-b9d5-471b-8d96-2ccb743ec3d4">5555-05-04T04:00:00+00:00</Expiration_x0020_Date0>
    <Specification_x0020_Number xmlns="2328571d-b9d5-471b-8d96-2ccb743ec3d4">SS305-002020-01</Specification_x0020_Number>
    <Availability_x0020_Date xmlns="2328571d-b9d5-471b-8d96-2ccb743ec3d4">2020-09-16T04:00:00+00:00</Availability_x0020_Date>
    <Document_x0020_Type xmlns="2328571d-b9d5-471b-8d96-2ccb743ec3d4">SS</Document_x0020_Type>
    <Usage_x0020_Guidelines xmlns="2328571d-b9d5-471b-8d96-2ccb743ec3d4">For use on all projects.</Usage_x0020_Guidelines>
    <Revision_x0020_Date xmlns="2328571d-b9d5-471b-8d96-2ccb743ec3d4">2020-06-02T04:00:00+00:00</Revision_x0020_Date>
    <Division xmlns="2328571d-b9d5-471b-8d96-2ccb743ec3d4">III</Division>
    <Section xmlns="2328571d-b9d5-471b-8d96-2ccb743ec3d4">305</Section>
    <LAP_x0020_Pick_x0020_List xmlns="2328571d-b9d5-471b-8d96-2ccb743ec3d4">false</LAP_x0020_Pick_x0020_List>
    <ASW_x0020_Guidelines xmlns="2328571d-b9d5-471b-8d96-2ccb743ec3d4">All Districts.
All Schedules.</ASW_x0020_Guidelines>
    <DB_x0020_Pick_x0020_List xmlns="2328571d-b9d5-471b-8d96-2ccb743ec3d4">true</DB_x0020_Pick_x0020_List>
    <ASW_x0020_Pick_x0020_List xmlns="2328571d-b9d5-471b-8d96-2ccb743ec3d4">true</ASW_x0020_Pick_x0020_List>
    <DBB_x0020_Pick_x0020_List xmlns="2328571d-b9d5-471b-8d96-2ccb743ec3d4">true</DBB_x0020_Pick_x0020_List>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7DE457-6D57-4DDC-B1BC-A56A9C009414}">
  <ds:schemaRefs>
    <ds:schemaRef ds:uri="http://purl.org/dc/elements/1.1/"/>
    <ds:schemaRef ds:uri="http://schemas.microsoft.com/office/2006/metadata/properties"/>
    <ds:schemaRef ds:uri="http://schemas.microsoft.com/office/2006/documentManagement/types"/>
    <ds:schemaRef ds:uri="http://purl.org/dc/terms/"/>
    <ds:schemaRef ds:uri="http://purl.org/dc/dcmitype/"/>
    <ds:schemaRef ds:uri="http://www.w3.org/XML/1998/namespace"/>
    <ds:schemaRef ds:uri="http://schemas.openxmlformats.org/package/2006/metadata/core-properties"/>
    <ds:schemaRef ds:uri="http://schemas.microsoft.com/office/infopath/2007/PartnerControls"/>
    <ds:schemaRef ds:uri="2328571d-b9d5-471b-8d96-2ccb743ec3d4"/>
  </ds:schemaRefs>
</ds:datastoreItem>
</file>

<file path=customXml/itemProps2.xml><?xml version="1.0" encoding="utf-8"?>
<ds:datastoreItem xmlns:ds="http://schemas.openxmlformats.org/officeDocument/2006/customXml" ds:itemID="{45646DFE-6DFE-4AC0-8447-33136B3FFD6F}">
  <ds:schemaRefs>
    <ds:schemaRef ds:uri="http://schemas.microsoft.com/sharepoint/v3/contenttype/forms"/>
  </ds:schemaRefs>
</ds:datastoreItem>
</file>

<file path=customXml/itemProps3.xml><?xml version="1.0" encoding="utf-8"?>
<ds:datastoreItem xmlns:ds="http://schemas.openxmlformats.org/officeDocument/2006/customXml" ds:itemID="{A6F63432-69DA-4BD7-9248-405A378516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28571d-b9d5-471b-8d96-2ccb743ec3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737</Words>
  <Characters>4203</Characters>
  <Application>Microsoft Office Word</Application>
  <DocSecurity>0</DocSecurity>
  <Lines>35</Lines>
  <Paragraphs>9</Paragraphs>
  <ScaleCrop>false</ScaleCrop>
  <Company>Virginia IT Infrastructure Partnership</Company>
  <LinksUpToDate>false</LinksUpToDate>
  <CharactersWithSpaces>4931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Subgrade and Shoulders</dc:title>
  <dc:creator>douglas.mcavoy</dc:creator>
  <cp:lastModifiedBy>Swanson, James, P.E. (VDOT)</cp:lastModifiedBy>
  <cp:revision>14</cp:revision>
  <dcterms:created xsi:type="dcterms:W3CDTF">2016-06-06T19:33:00Z</dcterms:created>
  <dcterms:modified xsi:type="dcterms:W3CDTF">2022-04-05T20:41:00Z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0x010100771DA6D9234A1F4BB626256BCE9A5673</vt:lpwstr>
  </property>
  <property fmtid="{D5CDD505-2E9C-101B-9397-08002B2CF9AE}" pid="3" name="Order">
    <vt:r8>6600</vt:r8>
  </property>
  <property fmtid="{D5CDD505-2E9C-101B-9397-08002B2CF9AE}" pid="4" name="Sources">
    <vt:lpwstr>https://insidevdot.cov.virginia.gov/div/sc/Design/Specs/Book/2014SBS/Forms/2014SBSD.aspx/100?RootFolder=/div%2Fsc%2FDesign%2FSpecs%2FBook%2F2014SBS%2F100&amp;View={31A41434-813F-44DE-AF21-B6DA4197C93E}, 100</vt:lpwstr>
  </property>
  <property fmtid="{D5CDD505-2E9C-101B-9397-08002B2CF9AE}" pid="5" name="_dlc_DocIdItemGuid">
    <vt:lpwstr>b2327818-8b97-433f-ace7-022599ace2a5</vt:lpwstr>
  </property>
  <property fmtid="{D5CDD505-2E9C-101B-9397-08002B2CF9AE}" pid="6" name="AROTCE">
    <vt:lpwstr/>
  </property>
  <property fmtid="{D5CDD505-2E9C-101B-9397-08002B2CF9AE}" pid="7" name="SME(s)">
    <vt:lpwstr/>
  </property>
  <property fmtid="{D5CDD505-2E9C-101B-9397-08002B2CF9AE}" pid="8" name="xd_Signature">
    <vt:bool>false</vt:bool>
  </property>
  <property fmtid="{D5CDD505-2E9C-101B-9397-08002B2CF9AE}" pid="9" name="List">
    <vt:lpwstr>SPEC100</vt:lpwstr>
  </property>
  <property fmtid="{D5CDD505-2E9C-101B-9397-08002B2CF9AE}" pid="10" name="xd_ProgID">
    <vt:lpwstr/>
  </property>
  <property fmtid="{D5CDD505-2E9C-101B-9397-08002B2CF9AE}" pid="11" name="_dlc_DocId">
    <vt:lpwstr>/insidevdot/div/sc/Design/Specs/Book|b2327818-8b97-433f-ace7-022599ace2a5</vt:lpwstr>
  </property>
  <property fmtid="{D5CDD505-2E9C-101B-9397-08002B2CF9AE}" pid="12" name="_dlc_DocIdUrl">
    <vt:lpwstr>https://insidevdot.cov.virginia.gov/div/sc/Design/Specs/Book/_layouts/DocIdRedir.aspx?ID=%2finsidevdot%2fdiv%2fsc%2fDesign%2fSpecs%2fBook%7cb2327818-8b97-433f-ace7-022599ace2a5, /insidevdot/div/sc/Design/Specs/Book|b2327818-8b97-433f-ace7-022599ace2a5</vt:lpwstr>
  </property>
  <property fmtid="{D5CDD505-2E9C-101B-9397-08002B2CF9AE}" pid="13" name="Locked">
    <vt:lpwstr>N</vt:lpwstr>
  </property>
  <property fmtid="{D5CDD505-2E9C-101B-9397-08002B2CF9AE}" pid="14" name="TemplateUrl">
    <vt:lpwstr/>
  </property>
  <property fmtid="{D5CDD505-2E9C-101B-9397-08002B2CF9AE}" pid="15" name="Specification Number">
    <vt:lpwstr>BK305-002016-00</vt:lpwstr>
  </property>
  <property fmtid="{D5CDD505-2E9C-101B-9397-08002B2CF9AE}" pid="16" name="Availability Date">
    <vt:filetime>2016-07-01T04:00:00Z</vt:filetime>
  </property>
  <property fmtid="{D5CDD505-2E9C-101B-9397-08002B2CF9AE}" pid="17" name="Document Type">
    <vt:lpwstr>Spec Book</vt:lpwstr>
  </property>
  <property fmtid="{D5CDD505-2E9C-101B-9397-08002B2CF9AE}" pid="18" name="Status">
    <vt:lpwstr>Active</vt:lpwstr>
  </property>
  <property fmtid="{D5CDD505-2E9C-101B-9397-08002B2CF9AE}" pid="19" name="Contains Fields">
    <vt:lpwstr>No</vt:lpwstr>
  </property>
  <property fmtid="{D5CDD505-2E9C-101B-9397-08002B2CF9AE}" pid="20" name="Div">
    <vt:lpwstr>III</vt:lpwstr>
  </property>
  <property fmtid="{D5CDD505-2E9C-101B-9397-08002B2CF9AE}" pid="21" name="Sect">
    <vt:lpwstr>305</vt:lpwstr>
  </property>
  <property fmtid="{D5CDD505-2E9C-101B-9397-08002B2CF9AE}" pid="22" name="WORD Direct">
    <vt:lpwstr>, </vt:lpwstr>
  </property>
  <property fmtid="{D5CDD505-2E9C-101B-9397-08002B2CF9AE}" pid="23" name="PDMS-Specs (1st Loc)">
    <vt:lpwstr>, </vt:lpwstr>
  </property>
  <property fmtid="{D5CDD505-2E9C-101B-9397-08002B2CF9AE}" pid="24" name="PDMS">
    <vt:lpwstr>, </vt:lpwstr>
  </property>
  <property fmtid="{D5CDD505-2E9C-101B-9397-08002B2CF9AE}" pid="25" name="CNSP Database">
    <vt:lpwstr>, </vt:lpwstr>
  </property>
  <property fmtid="{D5CDD505-2E9C-101B-9397-08002B2CF9AE}" pid="26" name="Spec Groups">
    <vt:lpwstr>, </vt:lpwstr>
  </property>
  <property fmtid="{D5CDD505-2E9C-101B-9397-08002B2CF9AE}" pid="27" name="Web Page No.">
    <vt:lpwstr>, </vt:lpwstr>
  </property>
  <property fmtid="{D5CDD505-2E9C-101B-9397-08002B2CF9AE}" pid="28" name="On Check-List">
    <vt:bool>false</vt:bool>
  </property>
  <property fmtid="{D5CDD505-2E9C-101B-9397-08002B2CF9AE}" pid="29" name="Pick List">
    <vt:bool>true</vt:bool>
  </property>
  <property fmtid="{D5CDD505-2E9C-101B-9397-08002B2CF9AE}" pid="30" name="Spec No. (Pick List)">
    <vt:lpwstr>, </vt:lpwstr>
  </property>
  <property fmtid="{D5CDD505-2E9C-101B-9397-08002B2CF9AE}" pid="31" name="_docset_NoMedatataSyncRequired">
    <vt:lpwstr>False</vt:lpwstr>
  </property>
  <property fmtid="{D5CDD505-2E9C-101B-9397-08002B2CF9AE}" pid="32" name="vdotMigrationDisposition">
    <vt:lpwstr>529;#Migrate|46cda2e4-059a-44cd-bc44-8a12785a31ab</vt:lpwstr>
  </property>
  <property fmtid="{D5CDD505-2E9C-101B-9397-08002B2CF9AE}" pid="33" name="Assigned To0">
    <vt:lpwstr>1631;#McAvoy, Douglas (VDOT)</vt:lpwstr>
  </property>
  <property fmtid="{D5CDD505-2E9C-101B-9397-08002B2CF9AE}" pid="34" name="Requestor">
    <vt:lpwstr>949;#Kim, Wansoo, PE, Ph.D (VDOT)</vt:lpwstr>
  </property>
  <property fmtid="{D5CDD505-2E9C-101B-9397-08002B2CF9AE}" pid="35" name="RCP">
    <vt:lpwstr>398;#Babish, Andy P.E. (VDOT)</vt:lpwstr>
  </property>
  <property fmtid="{D5CDD505-2E9C-101B-9397-08002B2CF9AE}" pid="36" name="Status Date">
    <vt:filetime>2020-09-16T04:00:00Z</vt:filetime>
  </property>
  <property fmtid="{D5CDD505-2E9C-101B-9397-08002B2CF9AE}" pid="37" name="Doc Type">
    <vt:lpwstr>Specification</vt:lpwstr>
  </property>
  <property fmtid="{D5CDD505-2E9C-101B-9397-08002B2CF9AE}" pid="38" name="Purpose of Revision">
    <vt:lpwstr>Incorporated changes to Geosynthetics</vt:lpwstr>
  </property>
</Properties>
</file>