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1F00B4" w:rsidP="001F00B4" w14:paraId="73DB371A" w14:textId="3541120A">
      <w:pPr>
        <w:pStyle w:val="Pa0"/>
        <w:tabs>
          <w:tab w:val="right" w:pos="9360"/>
        </w:tabs>
        <w:spacing w:after="240"/>
        <w:rPr>
          <w:rStyle w:val="A2"/>
          <w:rFonts w:ascii="Arial" w:hAnsi="Arial" w:cs="Arial"/>
          <w:b w:val="0"/>
        </w:rPr>
      </w:pPr>
      <w:r>
        <w:fldChar w:fldCharType="begin"/>
      </w:r>
      <w:r w:rsidRPr="00EE5360">
        <w:rPr>
          <w:rStyle w:val="Hyperlink"/>
          <w:rFonts w:ascii="Arial" w:hAnsi="Arial" w:cs="Arial"/>
          <w:b/>
          <w:sz w:val="20"/>
          <w:szCs w:val="20"/>
        </w:rPr>
        <w:instrText>HYPERLINK "HTTPS://COVGOV.SHAREPOINT.COM/sites/TM-VDOT-SC-Specifications-External/2020 Standard Specifications/SS316-002020-01.docx" \o ""</w:instrText>
      </w:r>
      <w:r>
        <w:fldChar w:fldCharType="separate"/>
      </w:r>
      <w:r w:rsidRPr="00EE5360">
        <w:rPr>
          <w:rStyle w:val="Hyperlink"/>
          <w:rFonts w:ascii="Arial" w:hAnsi="Arial" w:cs="Arial"/>
          <w:b/>
          <w:sz w:val="20"/>
          <w:szCs w:val="20"/>
        </w:rPr>
        <w:t>SS316-002020-01</w:t>
      </w:r>
      <w:r>
        <w:fldChar w:fldCharType="end"/>
      </w:r>
      <w:r>
        <w:rPr>
          <w:rStyle w:val="A2"/>
          <w:rFonts w:ascii="Arial" w:hAnsi="Arial" w:cs="Arial"/>
          <w:b w:val="0"/>
        </w:rPr>
        <w:tab/>
      </w:r>
      <w:r w:rsidR="0060204F">
        <w:rPr>
          <w:rStyle w:val="A2"/>
          <w:rFonts w:ascii="Arial" w:hAnsi="Arial" w:cs="Arial"/>
          <w:b w:val="0"/>
        </w:rPr>
        <w:t>September</w:t>
      </w:r>
      <w:r>
        <w:rPr>
          <w:rStyle w:val="A2"/>
          <w:rFonts w:ascii="Arial" w:hAnsi="Arial" w:cs="Arial"/>
          <w:b w:val="0"/>
        </w:rPr>
        <w:t xml:space="preserve"> 2, 2020</w:t>
      </w:r>
    </w:p>
    <w:p w:rsidR="000C4063" w:rsidP="001F00B4" w14:paraId="314599C1" w14:textId="77777777">
      <w:pPr>
        <w:pStyle w:val="Default"/>
        <w:jc w:val="center"/>
        <w:rPr>
          <w:rFonts w:ascii="Arial" w:hAnsi="Arial" w:cs="Arial"/>
          <w:sz w:val="20"/>
          <w:szCs w:val="20"/>
        </w:rPr>
      </w:pPr>
    </w:p>
    <w:p w:rsidR="001F00B4" w:rsidP="001F00B4" w14:paraId="62FDAB74" w14:textId="30727029">
      <w:pPr>
        <w:pStyle w:val="Default"/>
        <w:jc w:val="center"/>
        <w:rPr>
          <w:rFonts w:ascii="Arial" w:hAnsi="Arial" w:cs="Arial"/>
          <w:sz w:val="20"/>
          <w:szCs w:val="20"/>
        </w:rPr>
      </w:pPr>
      <w:r>
        <w:rPr>
          <w:rFonts w:ascii="Arial" w:hAnsi="Arial" w:cs="Arial"/>
          <w:sz w:val="20"/>
          <w:szCs w:val="20"/>
        </w:rPr>
        <w:t>VIRGINIA DEPARTMENT OF TRANSPORTATION</w:t>
      </w:r>
    </w:p>
    <w:p w:rsidR="001F00B4" w:rsidRPr="001F00B4" w:rsidP="001F00B4" w14:paraId="79E7FA3F" w14:textId="4D4F3409">
      <w:pPr>
        <w:pStyle w:val="Default"/>
        <w:jc w:val="center"/>
      </w:pPr>
      <w:r>
        <w:rPr>
          <w:rFonts w:ascii="Arial" w:hAnsi="Arial" w:cs="Arial"/>
          <w:sz w:val="20"/>
          <w:szCs w:val="20"/>
        </w:rPr>
        <w:t>2020 ROAD AND BRIDGE SUPPLEMENTAL SPECIFICATIONS</w:t>
      </w:r>
    </w:p>
    <w:p w:rsidR="00D42FEF" w:rsidP="001F00B4" w14:paraId="16283132" w14:textId="3E333A1F">
      <w:pPr>
        <w:pStyle w:val="Pa0"/>
        <w:spacing w:after="240"/>
        <w:jc w:val="center"/>
        <w:rPr>
          <w:rStyle w:val="A2"/>
          <w:rFonts w:ascii="Arial" w:hAnsi="Arial" w:cs="Arial"/>
        </w:rPr>
      </w:pPr>
      <w:r>
        <w:rPr>
          <w:rStyle w:val="A2"/>
          <w:rFonts w:ascii="Arial" w:hAnsi="Arial" w:cs="Arial"/>
        </w:rPr>
        <w:t xml:space="preserve">SECTION 316 – </w:t>
      </w:r>
      <w:r w:rsidRPr="00D42FEF">
        <w:rPr>
          <w:rStyle w:val="A2"/>
          <w:rFonts w:ascii="Arial" w:hAnsi="Arial" w:cs="Arial"/>
        </w:rPr>
        <w:t>HYDRAULIC CEMENT CONCRETE PAVEMENT</w:t>
      </w:r>
      <w:r>
        <w:rPr>
          <w:rFonts w:ascii="Arial" w:hAnsi="Arial" w:cs="Arial"/>
          <w:b/>
          <w:sz w:val="20"/>
          <w:szCs w:val="20"/>
        </w:rPr>
        <w:fldChar w:fldCharType="begin"/>
      </w:r>
      <w:r w:rsidRPr="00970BC5" w:rsidR="00DD749B">
        <w:rPr>
          <w:rFonts w:ascii="Arial" w:hAnsi="Arial" w:cs="Arial"/>
          <w:sz w:val="20"/>
          <w:szCs w:val="20"/>
        </w:rPr>
        <w:instrText xml:space="preserve"> TC "</w:instrText>
      </w:r>
      <w:bookmarkStart w:id="0" w:name="_Toc62554617"/>
      <w:bookmarkStart w:id="1" w:name="_Toc62555606"/>
      <w:r w:rsidRPr="00F013E3" w:rsidR="00F013E3">
        <w:rPr>
          <w:rFonts w:ascii="Arial" w:hAnsi="Arial" w:cs="Arial"/>
          <w:b/>
          <w:bCs/>
          <w:sz w:val="20"/>
          <w:szCs w:val="20"/>
        </w:rPr>
        <w:instrText>SS316-002020-01</w:instrText>
      </w:r>
      <w:r w:rsidRPr="00970BC5" w:rsidR="00DD749B">
        <w:rPr>
          <w:rFonts w:ascii="Arial" w:hAnsi="Arial" w:cs="Arial"/>
          <w:spacing w:val="-2"/>
          <w:sz w:val="20"/>
          <w:szCs w:val="20"/>
        </w:rPr>
        <w:instrText>   </w:instrText>
      </w:r>
      <w:r w:rsidRPr="00970BC5" w:rsidR="00DD749B">
        <w:rPr>
          <w:rFonts w:ascii="Arial" w:hAnsi="Arial" w:cs="Arial"/>
          <w:b/>
          <w:sz w:val="20"/>
          <w:szCs w:val="20"/>
        </w:rPr>
        <w:instrText xml:space="preserve">SEC. </w:instrText>
      </w:r>
      <w:r w:rsidR="000225DB">
        <w:rPr>
          <w:rStyle w:val="A2"/>
          <w:rFonts w:ascii="Arial" w:hAnsi="Arial" w:cs="Arial"/>
        </w:rPr>
        <w:instrText xml:space="preserve">316 – </w:instrText>
      </w:r>
      <w:r w:rsidRPr="00D42FEF" w:rsidR="000225DB">
        <w:rPr>
          <w:rStyle w:val="A2"/>
          <w:rFonts w:ascii="Arial" w:hAnsi="Arial" w:cs="Arial"/>
        </w:rPr>
        <w:instrText>HYDRAULIC CEMENT CONCRETE PAVEMENT</w:instrText>
      </w:r>
      <w:r w:rsidRPr="00970BC5" w:rsidR="00DD749B">
        <w:rPr>
          <w:rFonts w:ascii="Arial" w:hAnsi="Arial" w:cs="Arial"/>
          <w:sz w:val="20"/>
          <w:szCs w:val="20"/>
        </w:rPr>
        <w:instrText xml:space="preserve">   </w:instrText>
      </w:r>
      <w:r w:rsidR="00E36FBA">
        <w:rPr>
          <w:rFonts w:ascii="Arial" w:hAnsi="Arial" w:cs="Arial"/>
          <w:sz w:val="20"/>
          <w:szCs w:val="20"/>
        </w:rPr>
        <w:instrText>9</w:instrText>
      </w:r>
      <w:r w:rsidRPr="00970BC5" w:rsidR="00DD749B">
        <w:rPr>
          <w:rFonts w:ascii="Arial" w:hAnsi="Arial" w:cs="Arial"/>
          <w:sz w:val="20"/>
          <w:szCs w:val="20"/>
        </w:rPr>
        <w:instrText>-2-20</w:instrText>
      </w:r>
      <w:bookmarkEnd w:id="0"/>
      <w:bookmarkEnd w:id="1"/>
      <w:r w:rsidRPr="00970BC5" w:rsidR="00DD749B">
        <w:rPr>
          <w:rFonts w:ascii="Arial" w:hAnsi="Arial" w:cs="Arial"/>
          <w:sz w:val="20"/>
          <w:szCs w:val="20"/>
        </w:rPr>
        <w:instrText xml:space="preserve">" \f C \l "1" </w:instrText>
      </w:r>
      <w:r>
        <w:rPr>
          <w:rFonts w:ascii="Arial" w:hAnsi="Arial" w:cs="Arial"/>
          <w:b/>
          <w:sz w:val="20"/>
          <w:szCs w:val="20"/>
        </w:rPr>
        <w:fldChar w:fldCharType="end"/>
      </w:r>
    </w:p>
    <w:p w:rsidR="001F00B4" w:rsidP="00FD7D36" w14:paraId="4DF92388" w14:textId="77777777">
      <w:pPr>
        <w:pStyle w:val="Default"/>
        <w:spacing w:after="240"/>
        <w:jc w:val="both"/>
        <w:rPr>
          <w:rStyle w:val="A2"/>
          <w:rFonts w:ascii="Arial" w:hAnsi="Arial" w:cs="Arial"/>
          <w:b w:val="0"/>
        </w:rPr>
      </w:pPr>
      <w:r>
        <w:rPr>
          <w:rStyle w:val="A2"/>
          <w:rFonts w:ascii="Arial" w:hAnsi="Arial" w:cs="Arial"/>
        </w:rPr>
        <w:t xml:space="preserve">SECTION 316 – </w:t>
      </w:r>
      <w:r w:rsidRPr="00D42FEF">
        <w:rPr>
          <w:rStyle w:val="A2"/>
          <w:rFonts w:ascii="Arial" w:hAnsi="Arial" w:cs="Arial"/>
        </w:rPr>
        <w:t>HYDRAULIC CEMENT CONCRETE PAVEMENT</w:t>
      </w:r>
      <w:r>
        <w:rPr>
          <w:rStyle w:val="A2"/>
          <w:rFonts w:ascii="Arial" w:hAnsi="Arial" w:cs="Arial"/>
          <w:b w:val="0"/>
        </w:rPr>
        <w:t xml:space="preserve"> of the Specifications is amended as follows:</w:t>
      </w:r>
      <w:bookmarkStart w:id="2" w:name="_GoBack"/>
      <w:bookmarkEnd w:id="2"/>
    </w:p>
    <w:p w:rsidR="00883E16" w:rsidRPr="001F00B4" w:rsidP="00FD7D36" w14:paraId="7481CDC3" w14:textId="1AAE4C2C">
      <w:pPr>
        <w:pStyle w:val="Default"/>
        <w:spacing w:after="240"/>
        <w:ind w:left="360"/>
        <w:jc w:val="both"/>
        <w:rPr>
          <w:rStyle w:val="A0"/>
          <w:sz w:val="24"/>
          <w:szCs w:val="24"/>
        </w:rPr>
      </w:pPr>
      <w:r>
        <w:rPr>
          <w:rStyle w:val="A2"/>
          <w:rFonts w:ascii="Arial" w:hAnsi="Arial" w:cs="Arial"/>
        </w:rPr>
        <w:t xml:space="preserve">Section </w:t>
      </w:r>
      <w:r>
        <w:rPr>
          <w:rStyle w:val="A0"/>
          <w:rFonts w:ascii="Arial" w:hAnsi="Arial" w:cs="Arial"/>
          <w:b/>
          <w:bCs/>
          <w:color w:val="auto"/>
          <w:sz w:val="20"/>
          <w:szCs w:val="20"/>
        </w:rPr>
        <w:t>316.06 – Measurement and Payment</w:t>
      </w:r>
      <w:r>
        <w:rPr>
          <w:rStyle w:val="A0"/>
          <w:rFonts w:ascii="Arial" w:hAnsi="Arial" w:cs="Arial"/>
          <w:bCs/>
          <w:color w:val="auto"/>
          <w:sz w:val="20"/>
          <w:szCs w:val="20"/>
        </w:rPr>
        <w:t xml:space="preserve"> is amended by inserting the following:</w:t>
      </w:r>
    </w:p>
    <w:p w:rsidR="001F00B4" w:rsidRPr="001F00B4" w:rsidP="00FD7D36" w14:paraId="5764C1AB" w14:textId="4E3B37FC">
      <w:pPr>
        <w:pStyle w:val="Pa1"/>
        <w:spacing w:after="240" w:line="240" w:lineRule="auto"/>
        <w:ind w:left="720"/>
        <w:jc w:val="both"/>
        <w:rPr>
          <w:rStyle w:val="A0"/>
          <w:rFonts w:ascii="Arial" w:hAnsi="Arial" w:cs="Arial"/>
          <w:color w:val="auto"/>
          <w:sz w:val="20"/>
          <w:szCs w:val="20"/>
        </w:rPr>
      </w:pPr>
      <w:r w:rsidRPr="001F00B4">
        <w:rPr>
          <w:rFonts w:ascii="Arial" w:hAnsi="Arial" w:cs="Arial"/>
          <w:b/>
          <w:bCs/>
          <w:sz w:val="20"/>
          <w:szCs w:val="20"/>
        </w:rPr>
        <w:t>Corrosion resistant reinforcing steel</w:t>
      </w:r>
      <w:r w:rsidRPr="001F00B4">
        <w:rPr>
          <w:rFonts w:ascii="Arial" w:hAnsi="Arial" w:cs="Arial"/>
          <w:sz w:val="20"/>
          <w:szCs w:val="20"/>
        </w:rPr>
        <w:t xml:space="preserve"> </w:t>
      </w:r>
      <w:r w:rsidR="0060204F">
        <w:rPr>
          <w:rFonts w:ascii="Arial" w:hAnsi="Arial" w:cs="Arial"/>
          <w:sz w:val="20"/>
          <w:szCs w:val="20"/>
        </w:rPr>
        <w:t xml:space="preserve">used in Bridge Approach Slabs </w:t>
      </w:r>
      <w:r w:rsidRPr="001F00B4">
        <w:rPr>
          <w:rFonts w:ascii="Arial" w:hAnsi="Arial" w:cs="Arial"/>
          <w:sz w:val="20"/>
          <w:szCs w:val="20"/>
        </w:rPr>
        <w:t>will be measured in pounds and will be paid for at the Contract pound price for the class and grade of steel designated. This price shall include fabricating, shipping, furnishing, and placement in the locations shown in the Plans.</w:t>
      </w:r>
    </w:p>
    <w:p w:rsidR="001F00B4" w:rsidP="00FD7D36" w14:paraId="61FDA87F" w14:textId="6E398D71">
      <w:pPr>
        <w:pStyle w:val="Pa1"/>
        <w:spacing w:after="240" w:line="240" w:lineRule="auto"/>
        <w:ind w:left="360"/>
        <w:jc w:val="both"/>
        <w:rPr>
          <w:rStyle w:val="A0"/>
          <w:rFonts w:ascii="Arial" w:hAnsi="Arial" w:cs="Arial"/>
          <w:color w:val="auto"/>
          <w:sz w:val="20"/>
          <w:szCs w:val="20"/>
        </w:rPr>
      </w:pPr>
      <w:r>
        <w:rPr>
          <w:rStyle w:val="A0"/>
          <w:rFonts w:ascii="Arial" w:hAnsi="Arial" w:cs="Arial"/>
          <w:b/>
          <w:color w:val="auto"/>
          <w:sz w:val="20"/>
          <w:szCs w:val="20"/>
        </w:rPr>
        <w:t>Section 316.06 – Measurement and Payment</w:t>
      </w:r>
      <w:r>
        <w:rPr>
          <w:rStyle w:val="A0"/>
          <w:rFonts w:ascii="Arial" w:hAnsi="Arial" w:cs="Arial"/>
          <w:color w:val="auto"/>
          <w:sz w:val="20"/>
          <w:szCs w:val="20"/>
        </w:rPr>
        <w:t xml:space="preserve"> is amended by revising the Pay Item Table as follows:</w:t>
      </w:r>
    </w:p>
    <w:p w:rsidR="00A5249D" w:rsidRPr="000D53DB" w:rsidP="00FD7D36" w14:paraId="061C2257" w14:textId="47CCB480">
      <w:pPr>
        <w:pStyle w:val="Pa1"/>
        <w:spacing w:after="240" w:line="240" w:lineRule="auto"/>
        <w:ind w:left="720"/>
        <w:jc w:val="both"/>
        <w:rPr>
          <w:rStyle w:val="A0"/>
          <w:rFonts w:ascii="Arial" w:hAnsi="Arial" w:cs="Arial"/>
          <w:color w:val="auto"/>
          <w:sz w:val="20"/>
          <w:szCs w:val="20"/>
        </w:rPr>
      </w:pPr>
      <w:r>
        <w:rPr>
          <w:rStyle w:val="A0"/>
          <w:rFonts w:ascii="Arial" w:hAnsi="Arial" w:cs="Arial"/>
          <w:color w:val="auto"/>
          <w:sz w:val="20"/>
          <w:szCs w:val="20"/>
        </w:rPr>
        <w:t>The following pay items are inserted:</w:t>
      </w:r>
    </w:p>
    <w:tbl>
      <w:tblPr>
        <w:tblStyle w:val="TableGrid"/>
        <w:tblW w:w="0" w:type="auto"/>
        <w:tblInd w:w="720" w:type="dxa"/>
        <w:tblBorders>
          <w:left w:val="none" w:sz="0" w:space="0" w:color="auto"/>
          <w:right w:val="none" w:sz="0" w:space="0" w:color="auto"/>
          <w:insideH w:val="none" w:sz="0" w:space="0" w:color="auto"/>
          <w:insideV w:val="none" w:sz="0" w:space="0" w:color="auto"/>
        </w:tblBorders>
        <w:tblCellMar>
          <w:top w:w="58" w:type="dxa"/>
          <w:left w:w="58" w:type="dxa"/>
          <w:bottom w:w="58" w:type="dxa"/>
          <w:right w:w="58" w:type="dxa"/>
        </w:tblCellMar>
        <w:tblLook w:val="04A0"/>
      </w:tblPr>
      <w:tblGrid>
        <w:gridCol w:w="7200"/>
        <w:gridCol w:w="1260"/>
      </w:tblGrid>
      <w:tr w14:paraId="2EC89BF0" w14:textId="77777777" w:rsidTr="00877919">
        <w:tblPrEx>
          <w:tblW w:w="0" w:type="auto"/>
          <w:tblInd w:w="720" w:type="dxa"/>
          <w:tblBorders>
            <w:left w:val="none" w:sz="0" w:space="0" w:color="auto"/>
            <w:right w:val="none" w:sz="0" w:space="0" w:color="auto"/>
            <w:insideH w:val="none" w:sz="0" w:space="0" w:color="auto"/>
            <w:insideV w:val="none" w:sz="0" w:space="0" w:color="auto"/>
          </w:tblBorders>
          <w:tblCellMar>
            <w:top w:w="58" w:type="dxa"/>
            <w:left w:w="58" w:type="dxa"/>
            <w:bottom w:w="58" w:type="dxa"/>
            <w:right w:w="58" w:type="dxa"/>
          </w:tblCellMar>
          <w:tblLook w:val="04A0"/>
        </w:tblPrEx>
        <w:tc>
          <w:tcPr>
            <w:tcW w:w="7200" w:type="dxa"/>
            <w:tcBorders>
              <w:top w:val="single" w:sz="4" w:space="0" w:color="auto"/>
              <w:bottom w:val="single" w:sz="4" w:space="0" w:color="auto"/>
            </w:tcBorders>
          </w:tcPr>
          <w:p w:rsidR="00A5249D" w:rsidP="00FD7D36" w14:paraId="005E0E78" w14:textId="77777777">
            <w:pPr>
              <w:pStyle w:val="Pa1"/>
              <w:jc w:val="both"/>
              <w:rPr>
                <w:rStyle w:val="A0"/>
                <w:rFonts w:ascii="Arial" w:hAnsi="Arial" w:cs="Arial"/>
                <w:color w:val="auto"/>
                <w:sz w:val="20"/>
                <w:szCs w:val="20"/>
              </w:rPr>
            </w:pPr>
            <w:r w:rsidRPr="00D42FEF">
              <w:rPr>
                <w:rStyle w:val="A0"/>
                <w:rFonts w:ascii="Arial" w:hAnsi="Arial" w:cs="Arial"/>
                <w:b/>
                <w:bCs/>
                <w:color w:val="auto"/>
                <w:sz w:val="20"/>
                <w:szCs w:val="20"/>
              </w:rPr>
              <w:t>Pay Item</w:t>
            </w:r>
          </w:p>
        </w:tc>
        <w:tc>
          <w:tcPr>
            <w:tcW w:w="1260" w:type="dxa"/>
            <w:tcBorders>
              <w:top w:val="single" w:sz="4" w:space="0" w:color="auto"/>
              <w:bottom w:val="single" w:sz="4" w:space="0" w:color="auto"/>
            </w:tcBorders>
          </w:tcPr>
          <w:p w:rsidR="00A5249D" w:rsidP="00FD7D36" w14:paraId="335DC12D" w14:textId="77777777">
            <w:pPr>
              <w:pStyle w:val="Pa1"/>
              <w:jc w:val="both"/>
              <w:rPr>
                <w:rStyle w:val="A0"/>
                <w:rFonts w:ascii="Arial" w:hAnsi="Arial" w:cs="Arial"/>
                <w:color w:val="auto"/>
                <w:sz w:val="20"/>
                <w:szCs w:val="20"/>
              </w:rPr>
            </w:pPr>
            <w:r w:rsidRPr="00D42FEF">
              <w:rPr>
                <w:rStyle w:val="A0"/>
                <w:rFonts w:ascii="Arial" w:hAnsi="Arial" w:cs="Arial"/>
                <w:b/>
                <w:bCs/>
                <w:color w:val="auto"/>
                <w:sz w:val="20"/>
                <w:szCs w:val="20"/>
              </w:rPr>
              <w:t>Pay Unit</w:t>
            </w:r>
          </w:p>
        </w:tc>
      </w:tr>
      <w:tr w14:paraId="1D80818C" w14:textId="77777777" w:rsidTr="00877919">
        <w:tblPrEx>
          <w:tblW w:w="0" w:type="auto"/>
          <w:tblInd w:w="720" w:type="dxa"/>
          <w:tblCellMar>
            <w:top w:w="58" w:type="dxa"/>
            <w:left w:w="58" w:type="dxa"/>
            <w:bottom w:w="58" w:type="dxa"/>
            <w:right w:w="58" w:type="dxa"/>
          </w:tblCellMar>
          <w:tblLook w:val="04A0"/>
        </w:tblPrEx>
        <w:tc>
          <w:tcPr>
            <w:tcW w:w="7200" w:type="dxa"/>
          </w:tcPr>
          <w:p w:rsidR="00D377C2" w:rsidRPr="00D42FEF" w:rsidP="00FD7D36" w14:paraId="16CD9BF3" w14:textId="6C362089">
            <w:pPr>
              <w:pStyle w:val="Pa1"/>
              <w:ind w:left="75" w:hanging="75"/>
              <w:jc w:val="both"/>
              <w:rPr>
                <w:rStyle w:val="A0"/>
                <w:rFonts w:ascii="Arial" w:hAnsi="Arial" w:cs="Arial"/>
                <w:color w:val="auto"/>
                <w:sz w:val="20"/>
                <w:szCs w:val="20"/>
              </w:rPr>
            </w:pPr>
            <w:r>
              <w:rPr>
                <w:rStyle w:val="A0"/>
                <w:rFonts w:ascii="Arial" w:hAnsi="Arial" w:cs="Arial"/>
                <w:color w:val="auto"/>
                <w:sz w:val="20"/>
                <w:szCs w:val="20"/>
              </w:rPr>
              <w:t>Corrosion resistant reinforcing steel (class</w:t>
            </w:r>
            <w:r w:rsidR="000A6386">
              <w:rPr>
                <w:rStyle w:val="A0"/>
                <w:rFonts w:ascii="Arial" w:hAnsi="Arial" w:cs="Arial"/>
                <w:color w:val="auto"/>
                <w:sz w:val="20"/>
                <w:szCs w:val="20"/>
              </w:rPr>
              <w:t>, grade</w:t>
            </w:r>
            <w:r>
              <w:rPr>
                <w:rStyle w:val="A0"/>
                <w:rFonts w:ascii="Arial" w:hAnsi="Arial" w:cs="Arial"/>
                <w:color w:val="auto"/>
                <w:sz w:val="20"/>
                <w:szCs w:val="20"/>
              </w:rPr>
              <w:t>)</w:t>
            </w:r>
            <w:r w:rsidR="001F00B4">
              <w:rPr>
                <w:rStyle w:val="A0"/>
                <w:rFonts w:ascii="Arial" w:hAnsi="Arial" w:cs="Arial"/>
                <w:color w:val="auto"/>
                <w:sz w:val="20"/>
                <w:szCs w:val="20"/>
              </w:rPr>
              <w:t xml:space="preserve"> bridge approach slab</w:t>
            </w:r>
          </w:p>
        </w:tc>
        <w:tc>
          <w:tcPr>
            <w:tcW w:w="1260" w:type="dxa"/>
          </w:tcPr>
          <w:p w:rsidR="00D377C2" w:rsidRPr="00D42FEF" w:rsidP="00FD7D36" w14:paraId="68E46841" w14:textId="512B6777">
            <w:pPr>
              <w:pStyle w:val="Pa1"/>
              <w:jc w:val="both"/>
              <w:rPr>
                <w:rStyle w:val="A0"/>
                <w:rFonts w:ascii="Arial" w:hAnsi="Arial" w:cs="Arial"/>
                <w:color w:val="auto"/>
                <w:sz w:val="20"/>
                <w:szCs w:val="20"/>
              </w:rPr>
            </w:pPr>
            <w:r>
              <w:rPr>
                <w:rStyle w:val="A0"/>
                <w:rFonts w:ascii="Arial" w:hAnsi="Arial" w:cs="Arial"/>
                <w:color w:val="auto"/>
                <w:sz w:val="20"/>
                <w:szCs w:val="20"/>
              </w:rPr>
              <w:t>Pound</w:t>
            </w:r>
          </w:p>
        </w:tc>
      </w:tr>
    </w:tbl>
    <w:p w:rsidR="002C3456" w:rsidP="00FD7D36" w14:paraId="1ACD521D" w14:textId="7CD4784B">
      <w:pPr>
        <w:pStyle w:val="Pa1"/>
        <w:spacing w:after="240"/>
        <w:jc w:val="both"/>
        <w:rPr>
          <w:rFonts w:ascii="Arial" w:hAnsi="Arial" w:cs="Arial"/>
          <w:sz w:val="20"/>
          <w:szCs w:val="20"/>
        </w:rPr>
      </w:pPr>
    </w:p>
    <w:p w:rsidR="002E0ADA" w:rsidRPr="002E0ADA" w:rsidP="00FD7D36" w14:paraId="7E17C855" w14:textId="763EF424">
      <w:pPr>
        <w:pStyle w:val="Default"/>
        <w:jc w:val="both"/>
      </w:pP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MS Gothic"/>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4E017D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nsid w:val="2FEE01E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nsid w:val="7ED1706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80"/>
  <w:proofState w:spelling="clean" w:grammar="clean"/>
  <w:doNotTrackFormatting/>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225DB"/>
    <w:rsid w:val="00063EE0"/>
    <w:rsid w:val="00066EA7"/>
    <w:rsid w:val="000A6386"/>
    <w:rsid w:val="000C4063"/>
    <w:rsid w:val="000D53DB"/>
    <w:rsid w:val="001F00B4"/>
    <w:rsid w:val="002C3456"/>
    <w:rsid w:val="002E0ADA"/>
    <w:rsid w:val="00302070"/>
    <w:rsid w:val="005033D5"/>
    <w:rsid w:val="0060204F"/>
    <w:rsid w:val="00743FC4"/>
    <w:rsid w:val="007F62B5"/>
    <w:rsid w:val="00877919"/>
    <w:rsid w:val="00883E16"/>
    <w:rsid w:val="00970BC5"/>
    <w:rsid w:val="009E1E85"/>
    <w:rsid w:val="00A23BD9"/>
    <w:rsid w:val="00A5249D"/>
    <w:rsid w:val="00BC064E"/>
    <w:rsid w:val="00BD7867"/>
    <w:rsid w:val="00BE0DF1"/>
    <w:rsid w:val="00CB53FB"/>
    <w:rsid w:val="00D377C2"/>
    <w:rsid w:val="00D42FEF"/>
    <w:rsid w:val="00DD749B"/>
    <w:rsid w:val="00E36FBA"/>
    <w:rsid w:val="00EE5360"/>
    <w:rsid w:val="00F013E3"/>
    <w:rsid w:val="00FD7D3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9EDBE6C"/>
  <w15:docId w15:val="{6E0E6B1E-BA57-4856-B22F-C030F9E7A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EE0"/>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D42FEF"/>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D42FEF"/>
    <w:pPr>
      <w:spacing w:line="241" w:lineRule="atLeast"/>
    </w:pPr>
    <w:rPr>
      <w:rFonts w:cstheme="minorBidi"/>
      <w:color w:val="auto"/>
    </w:rPr>
  </w:style>
  <w:style w:type="character" w:customStyle="1" w:styleId="A2">
    <w:name w:val="A2"/>
    <w:uiPriority w:val="99"/>
    <w:rsid w:val="00D42FEF"/>
    <w:rPr>
      <w:rFonts w:cs="TimesNewRomanPS"/>
      <w:b/>
      <w:bCs/>
      <w:color w:val="000000"/>
      <w:sz w:val="20"/>
      <w:szCs w:val="20"/>
    </w:rPr>
  </w:style>
  <w:style w:type="paragraph" w:customStyle="1" w:styleId="Pa1">
    <w:name w:val="Pa1"/>
    <w:basedOn w:val="Default"/>
    <w:next w:val="Default"/>
    <w:uiPriority w:val="99"/>
    <w:rsid w:val="00D42FEF"/>
    <w:pPr>
      <w:spacing w:line="241" w:lineRule="atLeast"/>
    </w:pPr>
    <w:rPr>
      <w:rFonts w:cstheme="minorBidi"/>
      <w:color w:val="auto"/>
    </w:rPr>
  </w:style>
  <w:style w:type="character" w:customStyle="1" w:styleId="A0">
    <w:name w:val="A0"/>
    <w:uiPriority w:val="99"/>
    <w:rsid w:val="00D42FEF"/>
    <w:rPr>
      <w:rFonts w:cs="TimesNewRomanPS"/>
      <w:color w:val="000000"/>
      <w:sz w:val="18"/>
      <w:szCs w:val="18"/>
    </w:rPr>
  </w:style>
  <w:style w:type="paragraph" w:customStyle="1" w:styleId="Pa4">
    <w:name w:val="Pa4"/>
    <w:basedOn w:val="Default"/>
    <w:next w:val="Default"/>
    <w:uiPriority w:val="99"/>
    <w:rsid w:val="00D42FEF"/>
    <w:pPr>
      <w:spacing w:line="241" w:lineRule="atLeast"/>
    </w:pPr>
    <w:rPr>
      <w:rFonts w:cstheme="minorBidi"/>
      <w:color w:val="auto"/>
    </w:rPr>
  </w:style>
  <w:style w:type="paragraph" w:customStyle="1" w:styleId="Pa2">
    <w:name w:val="Pa2"/>
    <w:basedOn w:val="Default"/>
    <w:next w:val="Default"/>
    <w:uiPriority w:val="99"/>
    <w:rsid w:val="00D42FEF"/>
    <w:pPr>
      <w:spacing w:line="241" w:lineRule="atLeast"/>
    </w:pPr>
    <w:rPr>
      <w:rFonts w:cstheme="minorBidi"/>
      <w:color w:val="auto"/>
    </w:rPr>
  </w:style>
  <w:style w:type="paragraph" w:customStyle="1" w:styleId="Pa3">
    <w:name w:val="Pa3"/>
    <w:basedOn w:val="Default"/>
    <w:next w:val="Default"/>
    <w:uiPriority w:val="99"/>
    <w:rsid w:val="00D42FEF"/>
    <w:pPr>
      <w:spacing w:line="241" w:lineRule="atLeast"/>
    </w:pPr>
    <w:rPr>
      <w:rFonts w:cstheme="minorBidi"/>
      <w:color w:val="auto"/>
    </w:rPr>
  </w:style>
  <w:style w:type="paragraph" w:customStyle="1" w:styleId="Pa6">
    <w:name w:val="Pa6"/>
    <w:basedOn w:val="Default"/>
    <w:next w:val="Default"/>
    <w:uiPriority w:val="99"/>
    <w:rsid w:val="00D42FEF"/>
    <w:pPr>
      <w:spacing w:line="241" w:lineRule="atLeast"/>
    </w:pPr>
    <w:rPr>
      <w:rFonts w:cstheme="minorBidi"/>
      <w:color w:val="auto"/>
    </w:rPr>
  </w:style>
  <w:style w:type="paragraph" w:customStyle="1" w:styleId="Pa7">
    <w:name w:val="Pa7"/>
    <w:basedOn w:val="Default"/>
    <w:next w:val="Default"/>
    <w:uiPriority w:val="99"/>
    <w:rsid w:val="00D42FEF"/>
    <w:pPr>
      <w:spacing w:line="241" w:lineRule="atLeast"/>
    </w:pPr>
    <w:rPr>
      <w:rFonts w:cstheme="minorBidi"/>
      <w:color w:val="auto"/>
    </w:rPr>
  </w:style>
  <w:style w:type="paragraph" w:customStyle="1" w:styleId="Pa8">
    <w:name w:val="Pa8"/>
    <w:basedOn w:val="Default"/>
    <w:next w:val="Default"/>
    <w:uiPriority w:val="99"/>
    <w:rsid w:val="00D42FEF"/>
    <w:pPr>
      <w:spacing w:line="241" w:lineRule="atLeast"/>
    </w:pPr>
    <w:rPr>
      <w:rFonts w:cstheme="minorBidi"/>
      <w:color w:val="auto"/>
    </w:rPr>
  </w:style>
  <w:style w:type="paragraph" w:customStyle="1" w:styleId="Pa5">
    <w:name w:val="Pa5"/>
    <w:basedOn w:val="Default"/>
    <w:next w:val="Default"/>
    <w:uiPriority w:val="99"/>
    <w:rsid w:val="00D42FEF"/>
    <w:pPr>
      <w:spacing w:line="241" w:lineRule="atLeast"/>
    </w:pPr>
    <w:rPr>
      <w:rFonts w:cstheme="minorBidi"/>
      <w:color w:val="auto"/>
    </w:rPr>
  </w:style>
  <w:style w:type="table" w:styleId="TableGrid">
    <w:name w:val="Table Grid"/>
    <w:basedOn w:val="TableNormal"/>
    <w:uiPriority w:val="59"/>
    <w:rsid w:val="00883E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37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7C2"/>
    <w:rPr>
      <w:rFonts w:ascii="Segoe UI" w:hAnsi="Segoe UI" w:cs="Segoe UI"/>
      <w:sz w:val="18"/>
      <w:szCs w:val="18"/>
    </w:rPr>
  </w:style>
  <w:style w:type="character" w:styleId="Hyperlink">
    <w:name w:val="Hyperlink"/>
    <w:basedOn w:val="DefaultParagraphFont"/>
    <w:uiPriority w:val="99"/>
    <w:unhideWhenUsed/>
    <w:rsid w:val="00EE5360"/>
    <w:rPr>
      <w:color w:val="0000FF" w:themeColor="hyperlink"/>
      <w:u w:val="single"/>
    </w:rPr>
  </w:style>
  <w:style w:type="paragraph" w:styleId="TOC1">
    <w:name w:val="toc 1"/>
    <w:basedOn w:val="Normal"/>
    <w:next w:val="Normal"/>
    <w:autoRedefine/>
    <w:uiPriority w:val="39"/>
    <w:unhideWhenUsed/>
    <w:rsid w:val="00E36FB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ivision xmlns="2328571d-b9d5-471b-8d96-2ccb743ec3d4">III</Division>
    <Section xmlns="2328571d-b9d5-471b-8d96-2ccb743ec3d4">316</Section>
    <LAP_x0020_Pick_x0020_List xmlns="2328571d-b9d5-471b-8d96-2ccb743ec3d4">false</LAP_x0020_Pick_x0020_List>
    <ASW_x0020_Guidelines xmlns="2328571d-b9d5-471b-8d96-2ccb743ec3d4">All Districts.
All Schedules.</ASW_x0020_Guidelines>
    <Revision_x0020_Date xmlns="2328571d-b9d5-471b-8d96-2ccb743ec3d4">2020-09-02T04:00:00+00:00</Revision_x0020_Date>
    <Expiration_x0020_Date0 xmlns="2328571d-b9d5-471b-8d96-2ccb743ec3d4">5555-05-05T04:00:00+00:00</Expiration_x0020_Date0>
    <DB_x0020_Pick_x0020_List xmlns="2328571d-b9d5-471b-8d96-2ccb743ec3d4">true</DB_x0020_Pick_x0020_List>
    <Usage_x0020_Guidelines xmlns="2328571d-b9d5-471b-8d96-2ccb743ec3d4">For use with all projects.</Usage_x0020_Guidelines>
    <Specification_x0020_Number xmlns="2328571d-b9d5-471b-8d96-2ccb743ec3d4">SS316-002020-01</Specification_x0020_Number>
    <ASW_x0020_Pick_x0020_List xmlns="2328571d-b9d5-471b-8d96-2ccb743ec3d4">true</ASW_x0020_Pick_x0020_List>
    <Availability_x0020_Date xmlns="2328571d-b9d5-471b-8d96-2ccb743ec3d4">2021-02-10T05:00:00+00:00</Availability_x0020_Date>
    <Document_x0020_Type xmlns="2328571d-b9d5-471b-8d96-2ccb743ec3d4">SS</Document_x0020_Type>
    <DBB_x0020_Pick_x0020_List xmlns="2328571d-b9d5-471b-8d96-2ccb743ec3d4">true</DBB_x0020_Pick_x0020_Lis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D0E560-3711-4540-AE43-214623AE148F}">
  <ds:schemaRefs/>
</ds:datastoreItem>
</file>

<file path=customXml/itemProps2.xml><?xml version="1.0" encoding="utf-8"?>
<ds:datastoreItem xmlns:ds="http://schemas.openxmlformats.org/officeDocument/2006/customXml" ds:itemID="{BEF3ABB7-DB90-43D1-B57B-1D8D5C3F7DA0}">
  <ds:schemaRefs/>
</ds:datastoreItem>
</file>

<file path=customXml/itemProps3.xml><?xml version="1.0" encoding="utf-8"?>
<ds:datastoreItem xmlns:ds="http://schemas.openxmlformats.org/officeDocument/2006/customXml" ds:itemID="{7B4B829E-E330-4086-99EE-B33E76E00CB1}">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162</Words>
  <Characters>925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Hydraulic Cement Concrete Pavement</vt:lpstr>
    </vt:vector>
  </TitlesOfParts>
  <Company>Virginia IT Infrastructure Partnership</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316 – HYDRAULIC CEMENT CONCRETE PAVEMENT</dc:title>
  <dc:creator>douglas.mcavoy</dc:creator>
  <cp:lastModifiedBy>Gayle, David W. (VDOT)</cp:lastModifiedBy>
  <cp:revision>19</cp:revision>
  <dcterms:created xsi:type="dcterms:W3CDTF">2020-01-02T15:41:00Z</dcterms:created>
  <dcterms:modified xsi:type="dcterms:W3CDTF">2021-01-26T17:13:00Z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ailability Date">
    <vt:filetime>2016-07-01T04:00:00Z</vt:filetime>
  </property>
  <property fmtid="{D5CDD505-2E9C-101B-9397-08002B2CF9AE}" pid="3" name="CNSP Database">
    <vt:lpwstr>, </vt:lpwstr>
  </property>
  <property fmtid="{D5CDD505-2E9C-101B-9397-08002B2CF9AE}" pid="4" name="Contains Fields">
    <vt:lpwstr>No</vt:lpwstr>
  </property>
  <property fmtid="{D5CDD505-2E9C-101B-9397-08002B2CF9AE}" pid="5" name="ContentTypeId">
    <vt:lpwstr>0x010100771DA6D9234A1F4BB626256BCE9A5673</vt:lpwstr>
  </property>
  <property fmtid="{D5CDD505-2E9C-101B-9397-08002B2CF9AE}" pid="6" name="Div">
    <vt:lpwstr>III</vt:lpwstr>
  </property>
  <property fmtid="{D5CDD505-2E9C-101B-9397-08002B2CF9AE}" pid="7" name="Document Type">
    <vt:lpwstr>Spec Book</vt:lpwstr>
  </property>
  <property fmtid="{D5CDD505-2E9C-101B-9397-08002B2CF9AE}" pid="8" name="On Check-List">
    <vt:bool>false</vt:bool>
  </property>
  <property fmtid="{D5CDD505-2E9C-101B-9397-08002B2CF9AE}" pid="9" name="Order">
    <vt:r8>7700</vt:r8>
  </property>
  <property fmtid="{D5CDD505-2E9C-101B-9397-08002B2CF9AE}" pid="10" name="PDMS">
    <vt:lpwstr>, </vt:lpwstr>
  </property>
  <property fmtid="{D5CDD505-2E9C-101B-9397-08002B2CF9AE}" pid="11" name="PDMS-Specs (1st Loc)">
    <vt:lpwstr>, </vt:lpwstr>
  </property>
  <property fmtid="{D5CDD505-2E9C-101B-9397-08002B2CF9AE}" pid="12" name="Pick List">
    <vt:bool>true</vt:bool>
  </property>
  <property fmtid="{D5CDD505-2E9C-101B-9397-08002B2CF9AE}" pid="13" name="Sect">
    <vt:lpwstr>316</vt:lpwstr>
  </property>
  <property fmtid="{D5CDD505-2E9C-101B-9397-08002B2CF9AE}" pid="14" name="Spec Groups">
    <vt:lpwstr>, </vt:lpwstr>
  </property>
  <property fmtid="{D5CDD505-2E9C-101B-9397-08002B2CF9AE}" pid="15" name="Spec No. (Pick List)">
    <vt:lpwstr>, </vt:lpwstr>
  </property>
  <property fmtid="{D5CDD505-2E9C-101B-9397-08002B2CF9AE}" pid="16" name="Specification Number">
    <vt:lpwstr>BK316-002016-00</vt:lpwstr>
  </property>
  <property fmtid="{D5CDD505-2E9C-101B-9397-08002B2CF9AE}" pid="17" name="Status">
    <vt:lpwstr>Active</vt:lpwstr>
  </property>
  <property fmtid="{D5CDD505-2E9C-101B-9397-08002B2CF9AE}" pid="18" name="TemplateUrl">
    <vt:lpwstr/>
  </property>
  <property fmtid="{D5CDD505-2E9C-101B-9397-08002B2CF9AE}" pid="19" name="vdotMigrationDisposition">
    <vt:lpwstr>529;#Migrate|46cda2e4-059a-44cd-bc44-8a12785a31ab</vt:lpwstr>
  </property>
  <property fmtid="{D5CDD505-2E9C-101B-9397-08002B2CF9AE}" pid="20" name="Web Page No.">
    <vt:lpwstr>, </vt:lpwstr>
  </property>
  <property fmtid="{D5CDD505-2E9C-101B-9397-08002B2CF9AE}" pid="21" name="WORD Direct">
    <vt:lpwstr>, </vt:lpwstr>
  </property>
  <property fmtid="{D5CDD505-2E9C-101B-9397-08002B2CF9AE}" pid="22" name="xd_ProgID">
    <vt:lpwstr/>
  </property>
  <property fmtid="{D5CDD505-2E9C-101B-9397-08002B2CF9AE}" pid="23" name="_docset_NoMedatataSyncRequired">
    <vt:lpwstr>False</vt:lpwstr>
  </property>
</Properties>
</file>