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D4FD7" w14:textId="13D7B464" w:rsidR="00FC00D0" w:rsidRDefault="00FC00D0" w:rsidP="00FC00D0">
      <w:pPr>
        <w:tabs>
          <w:tab w:val="right" w:pos="9360"/>
        </w:tabs>
        <w:rPr>
          <w:rStyle w:val="A2"/>
          <w:rFonts w:cs="Arial"/>
          <w:bCs/>
          <w:i w:val="0"/>
        </w:rPr>
      </w:pPr>
      <w:r>
        <w:rPr>
          <w:rStyle w:val="A2"/>
          <w:rFonts w:cs="Arial"/>
          <w:b/>
          <w:bCs/>
          <w:i w:val="0"/>
        </w:rPr>
        <w:t>SS321-002020-01</w:t>
      </w:r>
      <w:r>
        <w:rPr>
          <w:rStyle w:val="A2"/>
          <w:rFonts w:cs="Arial"/>
          <w:bCs/>
          <w:i w:val="0"/>
        </w:rPr>
        <w:tab/>
      </w:r>
      <w:r>
        <w:rPr>
          <w:rStyle w:val="A2"/>
          <w:rFonts w:cs="Arial"/>
          <w:bCs/>
          <w:i w:val="0"/>
        </w:rPr>
        <w:t>May 2</w:t>
      </w:r>
      <w:r w:rsidR="001F42A1">
        <w:rPr>
          <w:rStyle w:val="A2"/>
          <w:rFonts w:cs="Arial"/>
          <w:bCs/>
          <w:i w:val="0"/>
        </w:rPr>
        <w:t>6</w:t>
      </w:r>
      <w:r>
        <w:rPr>
          <w:rStyle w:val="A2"/>
          <w:rFonts w:cs="Arial"/>
          <w:bCs/>
          <w:i w:val="0"/>
        </w:rPr>
        <w:t>, 2020</w:t>
      </w:r>
    </w:p>
    <w:p w14:paraId="314A7CC9" w14:textId="602C76A0" w:rsidR="00FC00D0" w:rsidRDefault="00FC00D0" w:rsidP="00FC00D0">
      <w:pPr>
        <w:tabs>
          <w:tab w:val="right" w:pos="9360"/>
        </w:tabs>
        <w:spacing w:after="0"/>
        <w:jc w:val="center"/>
        <w:rPr>
          <w:rStyle w:val="A2"/>
          <w:rFonts w:cs="Arial"/>
          <w:bCs/>
          <w:i w:val="0"/>
        </w:rPr>
      </w:pPr>
      <w:r>
        <w:rPr>
          <w:rStyle w:val="A2"/>
          <w:rFonts w:cs="Arial"/>
          <w:bCs/>
          <w:i w:val="0"/>
        </w:rPr>
        <w:t>VIRGINIA DEPARTMENT OF TRANSPORTATION</w:t>
      </w:r>
    </w:p>
    <w:p w14:paraId="24CFCB38" w14:textId="5411ABD6" w:rsidR="00FC00D0" w:rsidRPr="00FC00D0" w:rsidRDefault="00FC00D0" w:rsidP="00FC00D0">
      <w:pPr>
        <w:tabs>
          <w:tab w:val="right" w:pos="9360"/>
        </w:tabs>
        <w:spacing w:after="0"/>
        <w:jc w:val="center"/>
        <w:rPr>
          <w:rStyle w:val="A2"/>
          <w:rFonts w:cs="Arial"/>
          <w:bCs/>
          <w:i w:val="0"/>
        </w:rPr>
      </w:pPr>
      <w:r>
        <w:rPr>
          <w:rStyle w:val="A2"/>
          <w:rFonts w:cs="Arial"/>
          <w:bCs/>
          <w:i w:val="0"/>
        </w:rPr>
        <w:t>2020 ROAD AND BRIDGE SUPPLEMENTAL SPECIFICATIONS</w:t>
      </w:r>
    </w:p>
    <w:p w14:paraId="27CCC3DC" w14:textId="058AF00D" w:rsidR="00EC6EDD" w:rsidRPr="00F000BE" w:rsidRDefault="003E759A" w:rsidP="00EC6EDD">
      <w:pPr>
        <w:jc w:val="center"/>
        <w:rPr>
          <w:b/>
        </w:rPr>
      </w:pPr>
      <w:r>
        <w:rPr>
          <w:rStyle w:val="A2"/>
          <w:rFonts w:cs="Arial"/>
          <w:b/>
          <w:bCs/>
          <w:i w:val="0"/>
        </w:rPr>
        <w:t>SECTION 32</w:t>
      </w:r>
      <w:r w:rsidRPr="003E759A">
        <w:rPr>
          <w:rStyle w:val="A2"/>
          <w:rFonts w:cs="Arial"/>
          <w:b/>
          <w:bCs/>
          <w:i w:val="0"/>
        </w:rPr>
        <w:t>1 –</w:t>
      </w:r>
      <w:r w:rsidRPr="003E759A">
        <w:rPr>
          <w:rStyle w:val="A2"/>
          <w:rFonts w:cs="Arial"/>
          <w:b/>
          <w:bCs/>
        </w:rPr>
        <w:t xml:space="preserve"> </w:t>
      </w:r>
      <w:r w:rsidR="00EC6EDD" w:rsidRPr="003E759A">
        <w:rPr>
          <w:b/>
        </w:rPr>
        <w:t>TRENCH WIDENING</w:t>
      </w:r>
      <w:r w:rsidR="00935CE9">
        <w:rPr>
          <w:b/>
        </w:rPr>
        <w:fldChar w:fldCharType="begin"/>
      </w:r>
      <w:r w:rsidR="00935CE9">
        <w:instrText xml:space="preserve"> TC "</w:instrText>
      </w:r>
      <w:r w:rsidR="00935CE9">
        <w:rPr>
          <w:rStyle w:val="A2"/>
          <w:rFonts w:cs="Arial"/>
          <w:b/>
          <w:bCs/>
          <w:i w:val="0"/>
        </w:rPr>
        <w:instrText>*</w:instrText>
      </w:r>
      <w:r w:rsidR="00935CE9">
        <w:rPr>
          <w:rStyle w:val="A2"/>
          <w:rFonts w:cs="Arial"/>
          <w:b/>
          <w:bCs/>
          <w:i w:val="0"/>
        </w:rPr>
        <w:instrText>SS321-002020-01</w:instrText>
      </w:r>
      <w:r w:rsidR="00935CE9">
        <w:rPr>
          <w:rStyle w:val="A2"/>
          <w:rFonts w:cs="Arial"/>
          <w:b/>
          <w:bCs/>
          <w:i w:val="0"/>
        </w:rPr>
        <w:instrText xml:space="preserve">    </w:instrText>
      </w:r>
      <w:r w:rsidR="00935CE9" w:rsidRPr="00FF2773">
        <w:rPr>
          <w:rStyle w:val="A2"/>
          <w:rFonts w:cs="Arial"/>
          <w:b/>
          <w:bCs/>
          <w:i w:val="0"/>
        </w:rPr>
        <w:instrText>SECTION 321 –</w:instrText>
      </w:r>
      <w:r w:rsidR="00935CE9" w:rsidRPr="00FF2773">
        <w:rPr>
          <w:rStyle w:val="A2"/>
          <w:rFonts w:cs="Arial"/>
          <w:b/>
          <w:bCs/>
        </w:rPr>
        <w:instrText xml:space="preserve"> </w:instrText>
      </w:r>
      <w:r w:rsidR="00935CE9" w:rsidRPr="00FF2773">
        <w:rPr>
          <w:b/>
        </w:rPr>
        <w:instrText>TRENCH WIDENING</w:instrText>
      </w:r>
      <w:r w:rsidR="00935CE9">
        <w:instrText xml:space="preserve">    5-26-20</w:instrText>
      </w:r>
      <w:bookmarkStart w:id="0" w:name="_GoBack"/>
      <w:bookmarkEnd w:id="0"/>
      <w:r w:rsidR="00935CE9">
        <w:instrText xml:space="preserve">" \f C \l "1" </w:instrText>
      </w:r>
      <w:r w:rsidR="00935CE9">
        <w:rPr>
          <w:b/>
        </w:rPr>
        <w:fldChar w:fldCharType="end"/>
      </w:r>
    </w:p>
    <w:p w14:paraId="75828B16" w14:textId="69711835" w:rsidR="00E916AE" w:rsidRPr="00FC00D0" w:rsidRDefault="00FC00D0" w:rsidP="00FC00D0">
      <w:r>
        <w:rPr>
          <w:rStyle w:val="A2"/>
          <w:rFonts w:cs="Arial"/>
          <w:b/>
          <w:bCs/>
          <w:i w:val="0"/>
        </w:rPr>
        <w:t>SECTION 32</w:t>
      </w:r>
      <w:r w:rsidRPr="003E759A">
        <w:rPr>
          <w:rStyle w:val="A2"/>
          <w:rFonts w:cs="Arial"/>
          <w:b/>
          <w:bCs/>
          <w:i w:val="0"/>
        </w:rPr>
        <w:t>1 –</w:t>
      </w:r>
      <w:r w:rsidRPr="003E759A">
        <w:rPr>
          <w:rStyle w:val="A2"/>
          <w:rFonts w:cs="Arial"/>
          <w:b/>
          <w:bCs/>
        </w:rPr>
        <w:t xml:space="preserve"> </w:t>
      </w:r>
      <w:r w:rsidRPr="003E759A">
        <w:rPr>
          <w:b/>
        </w:rPr>
        <w:t>TRENCH WIDENING</w:t>
      </w:r>
      <w:r w:rsidRPr="00F000BE">
        <w:rPr>
          <w:b/>
        </w:rPr>
        <w:t xml:space="preserve"> </w:t>
      </w:r>
      <w:r>
        <w:t>of the Specifications is inserted as follows:</w:t>
      </w:r>
    </w:p>
    <w:p w14:paraId="3394386D" w14:textId="67ABD762" w:rsidR="00EC6EDD" w:rsidRDefault="00171B0B" w:rsidP="003E759A">
      <w:r>
        <w:rPr>
          <w:b/>
        </w:rPr>
        <w:t>321</w:t>
      </w:r>
      <w:r w:rsidR="00EC6EDD" w:rsidRPr="00795A79">
        <w:rPr>
          <w:b/>
        </w:rPr>
        <w:t>.01</w:t>
      </w:r>
      <w:r w:rsidR="00E46B55">
        <w:t xml:space="preserve"> – </w:t>
      </w:r>
      <w:r w:rsidR="00EC6EDD" w:rsidRPr="00EC6EDD">
        <w:rPr>
          <w:b/>
        </w:rPr>
        <w:t>Description</w:t>
      </w:r>
      <w:r w:rsidR="00EC6EDD">
        <w:t xml:space="preserve"> </w:t>
      </w:r>
    </w:p>
    <w:p w14:paraId="58458EDA" w14:textId="09A2C0C3" w:rsidR="00795A79" w:rsidRDefault="000646B6" w:rsidP="003E759A">
      <w:pPr>
        <w:rPr>
          <w:iCs/>
        </w:rPr>
      </w:pPr>
      <w:r>
        <w:t xml:space="preserve">This </w:t>
      </w:r>
      <w:r w:rsidR="00FC00D0">
        <w:t xml:space="preserve">work shall consist of </w:t>
      </w:r>
      <w:r>
        <w:t>install</w:t>
      </w:r>
      <w:r w:rsidR="00E46B55">
        <w:t>ing</w:t>
      </w:r>
      <w:r>
        <w:t xml:space="preserve"> </w:t>
      </w:r>
      <w:r w:rsidR="00E46B55">
        <w:t>asphalt into a constructed</w:t>
      </w:r>
      <w:r w:rsidR="00795A79">
        <w:t xml:space="preserve"> trench</w:t>
      </w:r>
      <w:r w:rsidR="00E46B55">
        <w:t xml:space="preserve"> to widen</w:t>
      </w:r>
      <w:r w:rsidR="00795A79">
        <w:t xml:space="preserve"> </w:t>
      </w:r>
      <w:r>
        <w:t>shoulders and travel lanes</w:t>
      </w:r>
      <w:r w:rsidR="00E46B55">
        <w:t xml:space="preserve"> in accordance with the Plans and Specifications</w:t>
      </w:r>
      <w:r w:rsidR="001F42A1">
        <w:t xml:space="preserve"> and as directed by the Engineer</w:t>
      </w:r>
      <w:r>
        <w:t>.</w:t>
      </w:r>
    </w:p>
    <w:p w14:paraId="7F86388D" w14:textId="18339BA7" w:rsidR="00795A79" w:rsidRDefault="00171B0B" w:rsidP="003E759A">
      <w:pPr>
        <w:rPr>
          <w:b/>
          <w:iCs/>
        </w:rPr>
      </w:pPr>
      <w:r>
        <w:rPr>
          <w:b/>
          <w:iCs/>
        </w:rPr>
        <w:t>321</w:t>
      </w:r>
      <w:r w:rsidR="00E46B55">
        <w:rPr>
          <w:b/>
          <w:iCs/>
        </w:rPr>
        <w:t xml:space="preserve">.02 – </w:t>
      </w:r>
      <w:r w:rsidR="00795A79" w:rsidRPr="00795A79">
        <w:rPr>
          <w:b/>
          <w:iCs/>
        </w:rPr>
        <w:t xml:space="preserve">Material </w:t>
      </w:r>
    </w:p>
    <w:p w14:paraId="5B3486FC" w14:textId="77777777" w:rsidR="00230F64" w:rsidRDefault="00230F64" w:rsidP="001F42A1">
      <w:pPr>
        <w:pStyle w:val="ListParagraph"/>
        <w:numPr>
          <w:ilvl w:val="0"/>
          <w:numId w:val="1"/>
        </w:numPr>
      </w:pPr>
      <w:r w:rsidRPr="00935CE9">
        <w:rPr>
          <w:b/>
        </w:rPr>
        <w:t>Materials</w:t>
      </w:r>
      <w:r>
        <w:t xml:space="preserve"> shall conform to Section 211.02 and 315.02.</w:t>
      </w:r>
    </w:p>
    <w:p w14:paraId="3B7FB8FB" w14:textId="3F0E338D" w:rsidR="0085365C" w:rsidRPr="001F42A1" w:rsidRDefault="0085365C" w:rsidP="001F42A1">
      <w:pPr>
        <w:pStyle w:val="ListParagraph"/>
        <w:numPr>
          <w:ilvl w:val="0"/>
          <w:numId w:val="1"/>
        </w:numPr>
        <w:suppressAutoHyphens/>
        <w:rPr>
          <w:iCs/>
        </w:rPr>
      </w:pPr>
      <w:r w:rsidRPr="001F42A1">
        <w:rPr>
          <w:b/>
          <w:bCs/>
          <w:iCs/>
        </w:rPr>
        <w:t>T</w:t>
      </w:r>
      <w:r w:rsidR="000646B6" w:rsidRPr="001F42A1">
        <w:rPr>
          <w:b/>
          <w:bCs/>
          <w:iCs/>
        </w:rPr>
        <w:t xml:space="preserve">rench widening material </w:t>
      </w:r>
      <w:r w:rsidRPr="001F42A1">
        <w:rPr>
          <w:iCs/>
        </w:rPr>
        <w:t xml:space="preserve">IM-19.0A shall be used for </w:t>
      </w:r>
      <w:r w:rsidRPr="001F42A1">
        <w:rPr>
          <w:bCs/>
          <w:iCs/>
        </w:rPr>
        <w:t>IM-19.0A(T)</w:t>
      </w:r>
      <w:r w:rsidRPr="001F42A1">
        <w:rPr>
          <w:iCs/>
        </w:rPr>
        <w:t xml:space="preserve"> and IM-19.0D shall be used for </w:t>
      </w:r>
      <w:r w:rsidRPr="001F42A1">
        <w:rPr>
          <w:bCs/>
          <w:iCs/>
        </w:rPr>
        <w:t>IM-19.0D(T)</w:t>
      </w:r>
      <w:r w:rsidRPr="001F42A1">
        <w:rPr>
          <w:iCs/>
        </w:rPr>
        <w:t xml:space="preserve">. Where </w:t>
      </w:r>
      <w:r w:rsidRPr="001F42A1">
        <w:rPr>
          <w:bCs/>
          <w:iCs/>
        </w:rPr>
        <w:t>BM-25.0(T)</w:t>
      </w:r>
      <w:r w:rsidRPr="001F42A1">
        <w:rPr>
          <w:iCs/>
        </w:rPr>
        <w:t xml:space="preserve"> is designated, either BM-25.0A or BM-25.0D shall be used by the Contractor.</w:t>
      </w:r>
    </w:p>
    <w:p w14:paraId="2DE84FEC" w14:textId="2322BA36" w:rsidR="0085365C" w:rsidRPr="00B44509" w:rsidRDefault="00171B0B" w:rsidP="003E759A">
      <w:pPr>
        <w:suppressAutoHyphens/>
        <w:spacing w:line="230" w:lineRule="exact"/>
        <w:rPr>
          <w:rStyle w:val="A0"/>
          <w:rFonts w:cs="Arial"/>
          <w:b/>
          <w:bCs/>
        </w:rPr>
      </w:pPr>
      <w:r w:rsidRPr="00B44509">
        <w:rPr>
          <w:b/>
          <w:iCs/>
        </w:rPr>
        <w:t>321</w:t>
      </w:r>
      <w:r w:rsidR="00B44509">
        <w:rPr>
          <w:b/>
          <w:iCs/>
        </w:rPr>
        <w:t>.03</w:t>
      </w:r>
      <w:r w:rsidR="00E46B55">
        <w:rPr>
          <w:rStyle w:val="A0"/>
          <w:rFonts w:cs="Arial"/>
          <w:b/>
          <w:bCs/>
          <w:sz w:val="20"/>
          <w:szCs w:val="20"/>
        </w:rPr>
        <w:t xml:space="preserve"> – </w:t>
      </w:r>
      <w:r w:rsidR="00B44509" w:rsidRPr="00B44509">
        <w:rPr>
          <w:rStyle w:val="A0"/>
          <w:rFonts w:cs="Arial"/>
          <w:b/>
          <w:bCs/>
          <w:sz w:val="20"/>
          <w:szCs w:val="20"/>
        </w:rPr>
        <w:t>Placement Limitations</w:t>
      </w:r>
    </w:p>
    <w:p w14:paraId="444EE94D" w14:textId="77777777" w:rsidR="00B44509" w:rsidRDefault="00B44509" w:rsidP="003E759A">
      <w:pPr>
        <w:suppressAutoHyphens/>
        <w:spacing w:line="230" w:lineRule="exact"/>
        <w:rPr>
          <w:rStyle w:val="A0"/>
          <w:rFonts w:cs="Arial"/>
        </w:rPr>
      </w:pPr>
      <w:r w:rsidRPr="00B44509">
        <w:rPr>
          <w:rStyle w:val="A0"/>
          <w:rFonts w:cs="Arial"/>
          <w:sz w:val="20"/>
          <w:szCs w:val="20"/>
        </w:rPr>
        <w:t>The Contractor shall not place asphalt concrete mixtures when weather or surface conditions are such that the material cannot be properly handled, finished, or compacted. The surface upon which asphalt mixtures is to be placed shall be free of standing water, dirt, and mud and the base temperature shall conform to Section 315.04</w:t>
      </w:r>
      <w:r>
        <w:rPr>
          <w:rStyle w:val="A0"/>
          <w:rFonts w:cs="Arial"/>
        </w:rPr>
        <w:t>.</w:t>
      </w:r>
    </w:p>
    <w:p w14:paraId="2258FD46" w14:textId="7097ABDF" w:rsidR="00F5666F" w:rsidRPr="00666A09" w:rsidRDefault="00E46B55" w:rsidP="003E759A">
      <w:pPr>
        <w:suppressAutoHyphens/>
        <w:spacing w:line="230" w:lineRule="exact"/>
        <w:rPr>
          <w:b/>
        </w:rPr>
      </w:pPr>
      <w:r>
        <w:rPr>
          <w:b/>
        </w:rPr>
        <w:t xml:space="preserve">321.04 – </w:t>
      </w:r>
      <w:r w:rsidR="00F5666F" w:rsidRPr="00F5666F">
        <w:rPr>
          <w:b/>
        </w:rPr>
        <w:t>Procedure</w:t>
      </w:r>
      <w:r w:rsidR="00F5666F">
        <w:t xml:space="preserve"> </w:t>
      </w:r>
    </w:p>
    <w:p w14:paraId="4AF93926" w14:textId="3A619745" w:rsidR="00F5666F" w:rsidRPr="00E46B55" w:rsidRDefault="009E3E43" w:rsidP="00E46B55">
      <w:pPr>
        <w:pStyle w:val="ListParagraph"/>
        <w:numPr>
          <w:ilvl w:val="0"/>
          <w:numId w:val="2"/>
        </w:numPr>
        <w:suppressAutoHyphens/>
        <w:rPr>
          <w:iCs/>
        </w:rPr>
      </w:pPr>
      <w:r w:rsidRPr="00E46B55">
        <w:rPr>
          <w:b/>
          <w:bCs/>
          <w:iCs/>
        </w:rPr>
        <w:t>Trench Widening Route Types</w:t>
      </w:r>
      <w:r w:rsidR="00E46B55">
        <w:rPr>
          <w:b/>
          <w:bCs/>
          <w:iCs/>
        </w:rPr>
        <w:t>:</w:t>
      </w:r>
      <w:r w:rsidR="00F5666F" w:rsidRPr="00E46B55">
        <w:rPr>
          <w:b/>
          <w:iCs/>
        </w:rPr>
        <w:t xml:space="preserve"> </w:t>
      </w:r>
      <w:r w:rsidR="00F5666F" w:rsidRPr="00E46B55">
        <w:rPr>
          <w:iCs/>
        </w:rPr>
        <w:t>The minimum lift density as determined according to VTM</w:t>
      </w:r>
      <w:r w:rsidR="00E46B55">
        <w:rPr>
          <w:iCs/>
        </w:rPr>
        <w:t xml:space="preserve"> </w:t>
      </w:r>
      <w:r w:rsidR="00F5666F" w:rsidRPr="00E46B55">
        <w:rPr>
          <w:iCs/>
        </w:rPr>
        <w:t>22 is based on the type of trench widening as defined below and specified in the Contract. Where trench widening is 2 f</w:t>
      </w:r>
      <w:r w:rsidR="001F42A1">
        <w:rPr>
          <w:iCs/>
        </w:rPr>
        <w:t>ee</w:t>
      </w:r>
      <w:r w:rsidR="00F5666F" w:rsidRPr="00E46B55">
        <w:rPr>
          <w:iCs/>
        </w:rPr>
        <w:t>t in width compaction may be performed with small single drum walk-behind rollers or other mechanical means acceptable to the Engineer.</w:t>
      </w:r>
    </w:p>
    <w:p w14:paraId="1854A870" w14:textId="6077BF24" w:rsidR="00F5666F" w:rsidRPr="00B6146F" w:rsidRDefault="00F5666F" w:rsidP="00B6146F">
      <w:pPr>
        <w:pStyle w:val="ListParagraph"/>
        <w:numPr>
          <w:ilvl w:val="1"/>
          <w:numId w:val="2"/>
        </w:numPr>
        <w:suppressAutoHyphens/>
        <w:rPr>
          <w:b/>
          <w:iCs/>
        </w:rPr>
      </w:pPr>
      <w:r w:rsidRPr="00B6146F">
        <w:rPr>
          <w:b/>
          <w:iCs/>
        </w:rPr>
        <w:t>Type 1</w:t>
      </w:r>
      <w:r w:rsidR="00B6146F" w:rsidRPr="00B6146F">
        <w:rPr>
          <w:b/>
          <w:iCs/>
        </w:rPr>
        <w:t>:</w:t>
      </w:r>
      <w:r w:rsidRPr="00B6146F">
        <w:rPr>
          <w:b/>
          <w:iCs/>
        </w:rPr>
        <w:tab/>
      </w:r>
      <w:r w:rsidRPr="00B6146F">
        <w:rPr>
          <w:b/>
          <w:iCs/>
        </w:rPr>
        <w:t>Paved Shoulder Only</w:t>
      </w:r>
      <w:r w:rsidR="00B6146F">
        <w:rPr>
          <w:b/>
          <w:iCs/>
        </w:rPr>
        <w:t xml:space="preserve"> </w:t>
      </w:r>
      <w:r w:rsidR="00B6146F">
        <w:rPr>
          <w:iCs/>
        </w:rPr>
        <w:t>shall be installed on</w:t>
      </w:r>
      <w:r w:rsidRPr="00B6146F">
        <w:rPr>
          <w:iCs/>
        </w:rPr>
        <w:t xml:space="preserve"> routes where the widening will serve as a paved shoulder and will not be subjected to constant traffic</w:t>
      </w:r>
      <w:r w:rsidR="00B6146F">
        <w:rPr>
          <w:iCs/>
        </w:rPr>
        <w:t>.</w:t>
      </w:r>
      <w:r w:rsidRPr="00B6146F">
        <w:rPr>
          <w:iCs/>
        </w:rPr>
        <w:t xml:space="preserve"> The painted edge line will not be on the trench widening. The minimum density requirement will not be enforced</w:t>
      </w:r>
      <w:r w:rsidR="00666A09" w:rsidRPr="00B6146F">
        <w:rPr>
          <w:iCs/>
        </w:rPr>
        <w:t xml:space="preserve"> for this type of trench widening</w:t>
      </w:r>
      <w:r w:rsidRPr="00B6146F">
        <w:rPr>
          <w:iCs/>
        </w:rPr>
        <w:t xml:space="preserve">. Steel double drum rollers weighing </w:t>
      </w:r>
      <w:r w:rsidR="00B6146F">
        <w:rPr>
          <w:iCs/>
        </w:rPr>
        <w:t>at least</w:t>
      </w:r>
      <w:r w:rsidRPr="00B6146F">
        <w:rPr>
          <w:iCs/>
        </w:rPr>
        <w:t xml:space="preserve"> 8 tons shall perform compaction of the asphalt concrete. </w:t>
      </w:r>
      <w:r w:rsidR="00B6146F">
        <w:rPr>
          <w:iCs/>
        </w:rPr>
        <w:t>At least</w:t>
      </w:r>
      <w:r w:rsidRPr="00B6146F">
        <w:rPr>
          <w:iCs/>
        </w:rPr>
        <w:t xml:space="preserve"> five passes shall be completed.</w:t>
      </w:r>
    </w:p>
    <w:p w14:paraId="4C1D9DFA" w14:textId="5CFA9821" w:rsidR="00F5666F" w:rsidRPr="00B6146F" w:rsidRDefault="00F5666F" w:rsidP="00B6146F">
      <w:pPr>
        <w:pStyle w:val="ListParagraph"/>
        <w:numPr>
          <w:ilvl w:val="1"/>
          <w:numId w:val="2"/>
        </w:numPr>
        <w:suppressAutoHyphens/>
        <w:rPr>
          <w:b/>
          <w:iCs/>
        </w:rPr>
      </w:pPr>
      <w:r w:rsidRPr="00B6146F">
        <w:rPr>
          <w:b/>
          <w:iCs/>
        </w:rPr>
        <w:t>Type 2</w:t>
      </w:r>
      <w:r w:rsidR="00B6146F">
        <w:rPr>
          <w:b/>
          <w:iCs/>
        </w:rPr>
        <w:t>:</w:t>
      </w:r>
      <w:r w:rsidRPr="00B6146F">
        <w:rPr>
          <w:b/>
          <w:iCs/>
        </w:rPr>
        <w:tab/>
      </w:r>
      <w:r w:rsidRPr="00B6146F">
        <w:rPr>
          <w:b/>
          <w:iCs/>
        </w:rPr>
        <w:t>Widened Travel Lane and Paved Shoulder</w:t>
      </w:r>
      <w:r w:rsidR="00B6146F">
        <w:rPr>
          <w:b/>
          <w:iCs/>
        </w:rPr>
        <w:t xml:space="preserve"> </w:t>
      </w:r>
      <w:r w:rsidR="00B6146F">
        <w:rPr>
          <w:iCs/>
        </w:rPr>
        <w:t>shall be installed on</w:t>
      </w:r>
      <w:r w:rsidRPr="00B6146F">
        <w:rPr>
          <w:iCs/>
        </w:rPr>
        <w:t xml:space="preserve"> routes where the widening will serve as a wider travel lane and paved shoulder that will be subjected to traffic</w:t>
      </w:r>
      <w:r w:rsidR="00B6146F">
        <w:rPr>
          <w:iCs/>
        </w:rPr>
        <w:t>.</w:t>
      </w:r>
      <w:r w:rsidRPr="00B6146F">
        <w:rPr>
          <w:iCs/>
        </w:rPr>
        <w:t xml:space="preserve"> The widening will not include removal of existing travel lane pavement, i.e., inside the edge line marking. The painted edge line will be on the trench wi</w:t>
      </w:r>
      <w:r w:rsidR="00666A09" w:rsidRPr="00B6146F">
        <w:rPr>
          <w:iCs/>
        </w:rPr>
        <w:t>dening.  The minimum density applies to this type of trench widening</w:t>
      </w:r>
      <w:r w:rsidRPr="00B6146F">
        <w:rPr>
          <w:iCs/>
        </w:rPr>
        <w:t>.</w:t>
      </w:r>
    </w:p>
    <w:p w14:paraId="35882750" w14:textId="408BC2DF" w:rsidR="009E3E43" w:rsidRPr="00AD4B2F" w:rsidRDefault="00F5666F" w:rsidP="00AD4B2F">
      <w:pPr>
        <w:pStyle w:val="ListParagraph"/>
        <w:numPr>
          <w:ilvl w:val="1"/>
          <w:numId w:val="2"/>
        </w:numPr>
        <w:suppressAutoHyphens/>
        <w:rPr>
          <w:b/>
          <w:iCs/>
        </w:rPr>
      </w:pPr>
      <w:r w:rsidRPr="00AD4B2F">
        <w:rPr>
          <w:b/>
          <w:iCs/>
        </w:rPr>
        <w:t>Type 3</w:t>
      </w:r>
      <w:r w:rsidR="00AD4B2F">
        <w:rPr>
          <w:b/>
          <w:iCs/>
        </w:rPr>
        <w:t>:</w:t>
      </w:r>
      <w:r w:rsidRPr="00AD4B2F">
        <w:rPr>
          <w:b/>
          <w:iCs/>
        </w:rPr>
        <w:tab/>
      </w:r>
      <w:r w:rsidRPr="00AD4B2F">
        <w:rPr>
          <w:b/>
          <w:iCs/>
        </w:rPr>
        <w:t>Repaired Travel Lane and Paved Shoulder</w:t>
      </w:r>
      <w:r w:rsidR="00AD4B2F">
        <w:rPr>
          <w:b/>
          <w:iCs/>
        </w:rPr>
        <w:t xml:space="preserve"> </w:t>
      </w:r>
      <w:r w:rsidR="00AD4B2F">
        <w:rPr>
          <w:iCs/>
        </w:rPr>
        <w:t>shall be used on</w:t>
      </w:r>
      <w:r w:rsidRPr="00AD4B2F">
        <w:rPr>
          <w:iCs/>
        </w:rPr>
        <w:t xml:space="preserve"> routes where the widening will include a portion of the existing travel lane, serve as a paved shoulder and will be subjected to traffic as a part of the travel lane</w:t>
      </w:r>
      <w:r w:rsidR="00AD4B2F">
        <w:rPr>
          <w:iCs/>
        </w:rPr>
        <w:t>.</w:t>
      </w:r>
      <w:r w:rsidRPr="00AD4B2F">
        <w:rPr>
          <w:iCs/>
        </w:rPr>
        <w:t xml:space="preserve"> The widening will include removal of existing pavement</w:t>
      </w:r>
      <w:r w:rsidR="00AD4B2F">
        <w:rPr>
          <w:iCs/>
        </w:rPr>
        <w:t>,</w:t>
      </w:r>
      <w:r w:rsidRPr="00AD4B2F">
        <w:rPr>
          <w:iCs/>
        </w:rPr>
        <w:t xml:space="preserve"> i.e.</w:t>
      </w:r>
      <w:r w:rsidR="00AD4B2F">
        <w:rPr>
          <w:iCs/>
        </w:rPr>
        <w:t>,</w:t>
      </w:r>
      <w:r w:rsidRPr="00AD4B2F">
        <w:rPr>
          <w:iCs/>
        </w:rPr>
        <w:t xml:space="preserve"> inside the edge line marking. The painted edge line will be on the trench wi</w:t>
      </w:r>
      <w:r w:rsidR="00666A09" w:rsidRPr="00AD4B2F">
        <w:rPr>
          <w:iCs/>
        </w:rPr>
        <w:t>dening.  The minimum density applies to this type of trench widening.</w:t>
      </w:r>
    </w:p>
    <w:p w14:paraId="43590AAB" w14:textId="60720D2C" w:rsidR="009E3E43" w:rsidRPr="00AD4B2F" w:rsidRDefault="009E3E43" w:rsidP="00AD4B2F">
      <w:pPr>
        <w:pStyle w:val="ListParagraph"/>
        <w:numPr>
          <w:ilvl w:val="0"/>
          <w:numId w:val="2"/>
        </w:numPr>
        <w:suppressAutoHyphens/>
        <w:rPr>
          <w:iCs/>
        </w:rPr>
      </w:pPr>
      <w:r w:rsidRPr="00AD4B2F">
        <w:rPr>
          <w:bCs/>
          <w:iCs/>
        </w:rPr>
        <w:t>Trench widening routes</w:t>
      </w:r>
      <w:r w:rsidRPr="00AD4B2F">
        <w:rPr>
          <w:iCs/>
        </w:rPr>
        <w:t xml:space="preserve"> shall be widened by trenching on one or both sides of the existing roadway and placing </w:t>
      </w:r>
      <w:r w:rsidR="00AD4B2F">
        <w:rPr>
          <w:bCs/>
          <w:iCs/>
        </w:rPr>
        <w:t>Trench Widening Material</w:t>
      </w:r>
      <w:r w:rsidRPr="00AD4B2F">
        <w:rPr>
          <w:iCs/>
        </w:rPr>
        <w:t xml:space="preserve"> </w:t>
      </w:r>
      <w:r w:rsidR="00AD4B2F">
        <w:rPr>
          <w:iCs/>
        </w:rPr>
        <w:t>in accordance</w:t>
      </w:r>
      <w:r w:rsidR="00AD4B2F" w:rsidRPr="00AD4B2F">
        <w:rPr>
          <w:iCs/>
        </w:rPr>
        <w:t xml:space="preserve"> </w:t>
      </w:r>
      <w:r w:rsidRPr="00AD4B2F">
        <w:rPr>
          <w:iCs/>
        </w:rPr>
        <w:t>with the width and depth specified for that route.</w:t>
      </w:r>
    </w:p>
    <w:p w14:paraId="49FB1D75" w14:textId="77777777" w:rsidR="009E3E43" w:rsidRPr="009E3E43" w:rsidRDefault="009E3E43" w:rsidP="00370AFA">
      <w:pPr>
        <w:suppressAutoHyphens/>
        <w:spacing w:line="230" w:lineRule="exact"/>
        <w:rPr>
          <w:iCs/>
        </w:rPr>
      </w:pPr>
      <w:r w:rsidRPr="009E3E43">
        <w:rPr>
          <w:iCs/>
        </w:rPr>
        <w:lastRenderedPageBreak/>
        <w:t>Any remaining material, after final grading, shall be classified as excess material, and will be disposed of according to Section 106.04 of the Specifications or as directed by the Engineer.</w:t>
      </w:r>
    </w:p>
    <w:p w14:paraId="41A5FB74" w14:textId="69C969E3" w:rsidR="009E3E43" w:rsidRPr="009E3E43" w:rsidRDefault="009E3E43" w:rsidP="00370AFA">
      <w:pPr>
        <w:suppressAutoHyphens/>
        <w:spacing w:line="230" w:lineRule="exact"/>
        <w:rPr>
          <w:iCs/>
        </w:rPr>
      </w:pPr>
      <w:r w:rsidRPr="009E3E43">
        <w:rPr>
          <w:iCs/>
        </w:rPr>
        <w:t>The trench shall be shaped to have vertical sides</w:t>
      </w:r>
      <w:r w:rsidR="00AD4B2F">
        <w:rPr>
          <w:iCs/>
        </w:rPr>
        <w:t xml:space="preserve"> with</w:t>
      </w:r>
      <w:r w:rsidRPr="009E3E43">
        <w:rPr>
          <w:iCs/>
        </w:rPr>
        <w:t xml:space="preserve"> the width, depth and type specified in the Contract (2-foot minimum to 6-foot maximum width)</w:t>
      </w:r>
      <w:r w:rsidR="00AD4B2F">
        <w:rPr>
          <w:iCs/>
        </w:rPr>
        <w:t>;</w:t>
      </w:r>
      <w:r w:rsidRPr="009E3E43">
        <w:rPr>
          <w:iCs/>
        </w:rPr>
        <w:t xml:space="preserve"> be free of excess material</w:t>
      </w:r>
      <w:r w:rsidR="00AD4B2F">
        <w:rPr>
          <w:iCs/>
        </w:rPr>
        <w:t>;</w:t>
      </w:r>
      <w:r w:rsidRPr="009E3E43">
        <w:rPr>
          <w:iCs/>
        </w:rPr>
        <w:t xml:space="preserve"> and shall be tacked against the existing pavement side </w:t>
      </w:r>
      <w:r w:rsidRPr="00AD4B2F">
        <w:rPr>
          <w:iCs/>
        </w:rPr>
        <w:t xml:space="preserve">before </w:t>
      </w:r>
      <w:r w:rsidR="00AD4B2F">
        <w:rPr>
          <w:bCs/>
          <w:iCs/>
        </w:rPr>
        <w:t>Trench Widening Material</w:t>
      </w:r>
      <w:r w:rsidRPr="00AD4B2F">
        <w:rPr>
          <w:iCs/>
        </w:rPr>
        <w:t xml:space="preserve"> is</w:t>
      </w:r>
      <w:r w:rsidRPr="009E3E43">
        <w:rPr>
          <w:iCs/>
        </w:rPr>
        <w:t xml:space="preserve"> placed.</w:t>
      </w:r>
    </w:p>
    <w:p w14:paraId="17AC64D7" w14:textId="6EF00806" w:rsidR="009E3E43" w:rsidRPr="009E3E43" w:rsidRDefault="009E3E43" w:rsidP="00370AFA">
      <w:pPr>
        <w:suppressAutoHyphens/>
        <w:spacing w:line="230" w:lineRule="exact"/>
        <w:rPr>
          <w:b/>
          <w:iCs/>
        </w:rPr>
      </w:pPr>
      <w:r w:rsidRPr="009E3E43">
        <w:rPr>
          <w:iCs/>
        </w:rPr>
        <w:t xml:space="preserve">The Contractor shall ensure that disruption to driveways, entrances, </w:t>
      </w:r>
      <w:r w:rsidR="00AD4B2F" w:rsidRPr="009E3E43">
        <w:rPr>
          <w:iCs/>
        </w:rPr>
        <w:t>mailboxes,</w:t>
      </w:r>
      <w:r w:rsidRPr="009E3E43">
        <w:rPr>
          <w:iCs/>
        </w:rPr>
        <w:t xml:space="preserve"> and intersections are minimized and that precautions are taken to ensure that roadway drainage does not pond on the roadway surface.</w:t>
      </w:r>
    </w:p>
    <w:p w14:paraId="4BA53B76" w14:textId="77777777" w:rsidR="00666A09" w:rsidRPr="009E3E43" w:rsidRDefault="00666A09" w:rsidP="00370AFA">
      <w:pPr>
        <w:suppressAutoHyphens/>
        <w:spacing w:line="230" w:lineRule="exact"/>
        <w:rPr>
          <w:b/>
          <w:iCs/>
        </w:rPr>
      </w:pPr>
      <w:r w:rsidRPr="009E3E43">
        <w:rPr>
          <w:b/>
          <w:iCs/>
        </w:rPr>
        <w:t>321</w:t>
      </w:r>
      <w:r w:rsidR="009E3E43" w:rsidRPr="009E3E43">
        <w:rPr>
          <w:b/>
          <w:iCs/>
        </w:rPr>
        <w:t xml:space="preserve">.05 </w:t>
      </w:r>
      <w:r w:rsidRPr="009E3E43">
        <w:rPr>
          <w:b/>
          <w:iCs/>
        </w:rPr>
        <w:t>- Acceptance</w:t>
      </w:r>
    </w:p>
    <w:p w14:paraId="1CE6EFEB" w14:textId="78DB8F75" w:rsidR="00F5666F" w:rsidRPr="00F000BE" w:rsidRDefault="00F5666F" w:rsidP="00370AFA">
      <w:pPr>
        <w:suppressAutoHyphens/>
        <w:spacing w:line="230" w:lineRule="exact"/>
      </w:pPr>
      <w:r w:rsidRPr="00F000BE">
        <w:rPr>
          <w:iCs/>
        </w:rPr>
        <w:t>Where density requirements apply, the Contractor is responsible for cutting cores or sawing plugs for density testing. One set of plugs</w:t>
      </w:r>
      <w:r w:rsidR="00AD4B2F">
        <w:rPr>
          <w:iCs/>
        </w:rPr>
        <w:t xml:space="preserve"> or </w:t>
      </w:r>
      <w:r w:rsidRPr="00F000BE">
        <w:rPr>
          <w:iCs/>
        </w:rPr>
        <w:t>cores per course of material shall be obtained within the first 500 feet and every 2,500 feet thereafter of the trench widening route for testing by the Contractor or the Department. Core</w:t>
      </w:r>
      <w:r w:rsidR="00AD4B2F">
        <w:rPr>
          <w:iCs/>
        </w:rPr>
        <w:t xml:space="preserve"> and </w:t>
      </w:r>
      <w:r w:rsidRPr="00F000BE">
        <w:rPr>
          <w:iCs/>
        </w:rPr>
        <w:t xml:space="preserve">plug locations shall be randomly selected within each section. If the density achieved is less than </w:t>
      </w:r>
      <w:r w:rsidRPr="00AD4B2F">
        <w:rPr>
          <w:bCs/>
          <w:iCs/>
        </w:rPr>
        <w:t>91.5</w:t>
      </w:r>
      <w:r w:rsidR="00AD4B2F">
        <w:rPr>
          <w:iCs/>
        </w:rPr>
        <w:t>%</w:t>
      </w:r>
      <w:r w:rsidR="008A3A17">
        <w:rPr>
          <w:iCs/>
        </w:rPr>
        <w:t xml:space="preserve"> of the maximum theoretical density</w:t>
      </w:r>
      <w:r w:rsidRPr="00F000BE">
        <w:rPr>
          <w:iCs/>
        </w:rPr>
        <w:t xml:space="preserve"> for the Type 2 or 3 trench widening routes, payment</w:t>
      </w:r>
      <w:r w:rsidR="009E3E43">
        <w:rPr>
          <w:iCs/>
        </w:rPr>
        <w:t xml:space="preserve"> </w:t>
      </w:r>
      <w:r w:rsidR="001F42A1">
        <w:rPr>
          <w:iCs/>
        </w:rPr>
        <w:t xml:space="preserve">adjustment </w:t>
      </w:r>
      <w:r w:rsidR="009E3E43">
        <w:rPr>
          <w:iCs/>
        </w:rPr>
        <w:t>will be made on the actual</w:t>
      </w:r>
      <w:r w:rsidRPr="00F000BE">
        <w:rPr>
          <w:iCs/>
        </w:rPr>
        <w:t xml:space="preserve"> tonnage within the 500</w:t>
      </w:r>
      <w:r w:rsidR="00AD4B2F">
        <w:rPr>
          <w:iCs/>
        </w:rPr>
        <w:t>-</w:t>
      </w:r>
      <w:r w:rsidRPr="00F000BE">
        <w:rPr>
          <w:iCs/>
        </w:rPr>
        <w:t xml:space="preserve"> or 2,500</w:t>
      </w:r>
      <w:r w:rsidR="00AD4B2F">
        <w:rPr>
          <w:iCs/>
        </w:rPr>
        <w:t>-foot</w:t>
      </w:r>
      <w:r w:rsidRPr="00F000BE">
        <w:rPr>
          <w:iCs/>
        </w:rPr>
        <w:t xml:space="preserve">  lot </w:t>
      </w:r>
      <w:r>
        <w:rPr>
          <w:iCs/>
        </w:rPr>
        <w:t>according to</w:t>
      </w:r>
      <w:r w:rsidR="009E3E43">
        <w:rPr>
          <w:iCs/>
        </w:rPr>
        <w:t xml:space="preserve"> Table III-6</w:t>
      </w:r>
      <w:r w:rsidRPr="00F000BE">
        <w:rPr>
          <w:iCs/>
        </w:rPr>
        <w:t>.</w:t>
      </w:r>
    </w:p>
    <w:p w14:paraId="628EB9E0" w14:textId="77777777" w:rsidR="00F5666F" w:rsidRDefault="009E3E43" w:rsidP="00370AFA">
      <w:pPr>
        <w:suppressAutoHyphens/>
        <w:spacing w:line="230" w:lineRule="exact"/>
        <w:rPr>
          <w:b/>
        </w:rPr>
      </w:pPr>
      <w:r w:rsidRPr="009E3E43">
        <w:rPr>
          <w:b/>
        </w:rPr>
        <w:t>321.06- Measurement and Payment</w:t>
      </w:r>
    </w:p>
    <w:p w14:paraId="2763E50D" w14:textId="54F6408C" w:rsidR="00F573C6" w:rsidRPr="00935CE9" w:rsidRDefault="009E3E43" w:rsidP="00370AFA">
      <w:pPr>
        <w:pStyle w:val="Pa2"/>
        <w:spacing w:line="240" w:lineRule="auto"/>
        <w:rPr>
          <w:rFonts w:ascii="Arial" w:hAnsi="Arial" w:cs="Arial"/>
          <w:bCs/>
          <w:sz w:val="20"/>
          <w:szCs w:val="20"/>
        </w:rPr>
      </w:pPr>
      <w:r w:rsidRPr="00935CE9">
        <w:rPr>
          <w:rFonts w:ascii="Arial" w:hAnsi="Arial" w:cs="Arial"/>
          <w:b/>
          <w:sz w:val="20"/>
          <w:szCs w:val="20"/>
        </w:rPr>
        <w:t xml:space="preserve">Asphalt Concrete Type </w:t>
      </w:r>
      <w:r w:rsidRPr="00935CE9">
        <w:rPr>
          <w:rFonts w:ascii="Arial" w:hAnsi="Arial" w:cs="Arial"/>
          <w:b/>
          <w:iCs/>
          <w:sz w:val="20"/>
          <w:szCs w:val="20"/>
        </w:rPr>
        <w:t>BM-25.0(T), IM-19.0A(T) or IM-19.0D(T)</w:t>
      </w:r>
      <w:r w:rsidRPr="00935CE9">
        <w:rPr>
          <w:rFonts w:ascii="Arial" w:hAnsi="Arial" w:cs="Arial"/>
          <w:sz w:val="20"/>
          <w:szCs w:val="20"/>
        </w:rPr>
        <w:t xml:space="preserve"> will be measured in tons and will be paid for at the </w:t>
      </w:r>
      <w:r w:rsidR="00AD4B2F" w:rsidRPr="00935CE9">
        <w:rPr>
          <w:rFonts w:ascii="Arial" w:hAnsi="Arial" w:cs="Arial"/>
          <w:sz w:val="20"/>
          <w:szCs w:val="20"/>
        </w:rPr>
        <w:t>C</w:t>
      </w:r>
      <w:r w:rsidRPr="00935CE9">
        <w:rPr>
          <w:rFonts w:ascii="Arial" w:hAnsi="Arial" w:cs="Arial"/>
          <w:sz w:val="20"/>
          <w:szCs w:val="20"/>
        </w:rPr>
        <w:t>ontract ton</w:t>
      </w:r>
      <w:r w:rsidR="00AD4B2F" w:rsidRPr="00935CE9">
        <w:rPr>
          <w:rFonts w:ascii="Arial" w:hAnsi="Arial" w:cs="Arial"/>
          <w:sz w:val="20"/>
          <w:szCs w:val="20"/>
        </w:rPr>
        <w:t xml:space="preserve"> price.</w:t>
      </w:r>
      <w:r w:rsidRPr="00935CE9">
        <w:rPr>
          <w:rFonts w:ascii="Arial" w:hAnsi="Arial" w:cs="Arial"/>
          <w:sz w:val="20"/>
          <w:szCs w:val="20"/>
        </w:rPr>
        <w:t xml:space="preserve"> </w:t>
      </w:r>
      <w:r w:rsidR="00AD4B2F" w:rsidRPr="00935CE9">
        <w:rPr>
          <w:rFonts w:ascii="Arial" w:hAnsi="Arial" w:cs="Arial"/>
          <w:sz w:val="20"/>
          <w:szCs w:val="20"/>
        </w:rPr>
        <w:t>This</w:t>
      </w:r>
      <w:r w:rsidRPr="00935CE9">
        <w:rPr>
          <w:rFonts w:ascii="Arial" w:hAnsi="Arial" w:cs="Arial"/>
          <w:sz w:val="20"/>
          <w:szCs w:val="20"/>
        </w:rPr>
        <w:t xml:space="preserve"> price shall include furnishing and placing the </w:t>
      </w:r>
      <w:r w:rsidR="00AD4B2F" w:rsidRPr="00935CE9">
        <w:rPr>
          <w:rFonts w:ascii="Arial" w:hAnsi="Arial" w:cs="Arial"/>
          <w:bCs/>
          <w:iCs/>
          <w:sz w:val="20"/>
          <w:szCs w:val="20"/>
        </w:rPr>
        <w:t>Trench Widening Material</w:t>
      </w:r>
      <w:r w:rsidRPr="00935CE9">
        <w:rPr>
          <w:rFonts w:ascii="Arial" w:hAnsi="Arial" w:cs="Arial"/>
          <w:sz w:val="20"/>
          <w:szCs w:val="20"/>
        </w:rPr>
        <w:t>, trenching, tack</w:t>
      </w:r>
      <w:r w:rsidR="003F4EB5" w:rsidRPr="00935CE9">
        <w:rPr>
          <w:rFonts w:ascii="Arial" w:hAnsi="Arial" w:cs="Arial"/>
          <w:sz w:val="20"/>
          <w:szCs w:val="20"/>
        </w:rPr>
        <w:t>,</w:t>
      </w:r>
      <w:r w:rsidRPr="00935CE9">
        <w:rPr>
          <w:rFonts w:ascii="Arial" w:hAnsi="Arial" w:cs="Arial"/>
          <w:sz w:val="20"/>
          <w:szCs w:val="20"/>
        </w:rPr>
        <w:t xml:space="preserve"> grading </w:t>
      </w:r>
      <w:r w:rsidRPr="00935CE9">
        <w:rPr>
          <w:rFonts w:ascii="Arial" w:hAnsi="Arial" w:cs="Arial"/>
          <w:iCs/>
          <w:sz w:val="20"/>
          <w:szCs w:val="20"/>
        </w:rPr>
        <w:t>and dispos</w:t>
      </w:r>
      <w:r w:rsidR="00AD4B2F" w:rsidRPr="00935CE9">
        <w:rPr>
          <w:rFonts w:ascii="Arial" w:hAnsi="Arial" w:cs="Arial"/>
          <w:iCs/>
          <w:sz w:val="20"/>
          <w:szCs w:val="20"/>
        </w:rPr>
        <w:t>ing</w:t>
      </w:r>
      <w:r w:rsidRPr="00935CE9">
        <w:rPr>
          <w:rFonts w:ascii="Arial" w:hAnsi="Arial" w:cs="Arial"/>
          <w:iCs/>
          <w:sz w:val="20"/>
          <w:szCs w:val="20"/>
        </w:rPr>
        <w:t xml:space="preserve"> of excess material.</w:t>
      </w:r>
    </w:p>
    <w:p w14:paraId="3E56DE18" w14:textId="77777777" w:rsidR="009E3E43" w:rsidRDefault="009E3E43" w:rsidP="00370AFA">
      <w:pPr>
        <w:suppressAutoHyphens/>
        <w:spacing w:line="230" w:lineRule="exact"/>
        <w:ind w:left="360"/>
      </w:pPr>
      <w:r w:rsidRPr="00F000BE">
        <w:t>Payment will be made under:</w:t>
      </w:r>
    </w:p>
    <w:tbl>
      <w:tblPr>
        <w:tblW w:w="0" w:type="auto"/>
        <w:tblInd w:w="360" w:type="dxa"/>
        <w:tblBorders>
          <w:top w:val="single" w:sz="6" w:space="0" w:color="auto"/>
          <w:bottom w:val="single" w:sz="6" w:space="0" w:color="auto"/>
        </w:tblBorders>
        <w:tblLook w:val="00A0" w:firstRow="1" w:lastRow="0" w:firstColumn="1" w:lastColumn="0" w:noHBand="0" w:noVBand="0"/>
      </w:tblPr>
      <w:tblGrid>
        <w:gridCol w:w="5580"/>
        <w:gridCol w:w="1080"/>
      </w:tblGrid>
      <w:tr w:rsidR="009E3E43" w:rsidRPr="00F000BE" w14:paraId="58751A40" w14:textId="77777777" w:rsidTr="00370AFA">
        <w:tc>
          <w:tcPr>
            <w:tcW w:w="5580" w:type="dxa"/>
            <w:tcBorders>
              <w:bottom w:val="single" w:sz="6" w:space="0" w:color="auto"/>
            </w:tcBorders>
          </w:tcPr>
          <w:p w14:paraId="2593054E" w14:textId="77777777" w:rsidR="009E3E43" w:rsidRPr="00370AFA" w:rsidRDefault="00370AFA" w:rsidP="00AD4B2F">
            <w:pPr>
              <w:spacing w:after="0"/>
              <w:rPr>
                <w:b/>
              </w:rPr>
            </w:pPr>
            <w:r>
              <w:rPr>
                <w:b/>
              </w:rPr>
              <w:t>Pay Item</w:t>
            </w:r>
          </w:p>
        </w:tc>
        <w:tc>
          <w:tcPr>
            <w:tcW w:w="1080" w:type="dxa"/>
            <w:tcBorders>
              <w:bottom w:val="single" w:sz="6" w:space="0" w:color="auto"/>
            </w:tcBorders>
          </w:tcPr>
          <w:p w14:paraId="143F38DC" w14:textId="77777777" w:rsidR="009E3E43" w:rsidRPr="00370AFA" w:rsidRDefault="009E3E43" w:rsidP="00AD4B2F">
            <w:pPr>
              <w:spacing w:after="0"/>
              <w:rPr>
                <w:b/>
              </w:rPr>
            </w:pPr>
            <w:r w:rsidRPr="00F000BE">
              <w:rPr>
                <w:b/>
              </w:rPr>
              <w:t>Pay Unit</w:t>
            </w:r>
          </w:p>
        </w:tc>
      </w:tr>
      <w:tr w:rsidR="009E3E43" w:rsidRPr="00F000BE" w14:paraId="7E1B8A6F" w14:textId="77777777" w:rsidTr="00370AFA">
        <w:tc>
          <w:tcPr>
            <w:tcW w:w="5580" w:type="dxa"/>
            <w:tcBorders>
              <w:top w:val="single" w:sz="6" w:space="0" w:color="auto"/>
              <w:bottom w:val="nil"/>
            </w:tcBorders>
          </w:tcPr>
          <w:p w14:paraId="1F7CEA49" w14:textId="77777777" w:rsidR="009E3E43" w:rsidRPr="00F000BE" w:rsidRDefault="009E3E43" w:rsidP="00AD4B2F">
            <w:pPr>
              <w:spacing w:after="0"/>
            </w:pPr>
            <w:r w:rsidRPr="00F000BE">
              <w:rPr>
                <w:rFonts w:cs="Arial"/>
              </w:rPr>
              <w:t xml:space="preserve">Asphalt Concrete Type </w:t>
            </w:r>
            <w:r w:rsidRPr="00F000BE">
              <w:t>BM-25.0(T)</w:t>
            </w:r>
          </w:p>
        </w:tc>
        <w:tc>
          <w:tcPr>
            <w:tcW w:w="1080" w:type="dxa"/>
            <w:tcBorders>
              <w:top w:val="single" w:sz="6" w:space="0" w:color="auto"/>
              <w:bottom w:val="nil"/>
            </w:tcBorders>
          </w:tcPr>
          <w:p w14:paraId="1634AE9D" w14:textId="77777777" w:rsidR="009E3E43" w:rsidRPr="00F000BE" w:rsidRDefault="009E3E43" w:rsidP="00AD4B2F">
            <w:pPr>
              <w:spacing w:after="0"/>
            </w:pPr>
            <w:r w:rsidRPr="00F000BE">
              <w:t>Ton</w:t>
            </w:r>
          </w:p>
        </w:tc>
      </w:tr>
      <w:tr w:rsidR="009E3E43" w:rsidRPr="00F000BE" w14:paraId="11BA2C52" w14:textId="77777777" w:rsidTr="00370AFA">
        <w:tc>
          <w:tcPr>
            <w:tcW w:w="5580" w:type="dxa"/>
            <w:tcBorders>
              <w:top w:val="nil"/>
              <w:bottom w:val="nil"/>
            </w:tcBorders>
          </w:tcPr>
          <w:p w14:paraId="019AB685" w14:textId="77777777" w:rsidR="009E3E43" w:rsidRPr="00F000BE" w:rsidRDefault="009E3E43" w:rsidP="00AD4B2F">
            <w:pPr>
              <w:spacing w:after="0"/>
            </w:pPr>
            <w:r w:rsidRPr="00F000BE">
              <w:rPr>
                <w:rFonts w:cs="Arial"/>
              </w:rPr>
              <w:t xml:space="preserve">Asphalt Concrete Type </w:t>
            </w:r>
            <w:r w:rsidRPr="00F000BE">
              <w:rPr>
                <w:iCs/>
              </w:rPr>
              <w:t>IM-19.0A(T)</w:t>
            </w:r>
          </w:p>
        </w:tc>
        <w:tc>
          <w:tcPr>
            <w:tcW w:w="1080" w:type="dxa"/>
            <w:tcBorders>
              <w:top w:val="nil"/>
              <w:bottom w:val="nil"/>
            </w:tcBorders>
          </w:tcPr>
          <w:p w14:paraId="2758B8E7" w14:textId="77777777" w:rsidR="009E3E43" w:rsidRPr="00F000BE" w:rsidRDefault="009E3E43" w:rsidP="00AD4B2F">
            <w:pPr>
              <w:spacing w:after="0"/>
            </w:pPr>
            <w:r w:rsidRPr="00F000BE">
              <w:t>Ton</w:t>
            </w:r>
          </w:p>
        </w:tc>
      </w:tr>
      <w:tr w:rsidR="009E3E43" w:rsidRPr="00F000BE" w14:paraId="193EA8B3" w14:textId="77777777" w:rsidTr="00370AFA">
        <w:tc>
          <w:tcPr>
            <w:tcW w:w="5580" w:type="dxa"/>
            <w:tcBorders>
              <w:top w:val="nil"/>
              <w:bottom w:val="single" w:sz="6" w:space="0" w:color="auto"/>
            </w:tcBorders>
          </w:tcPr>
          <w:p w14:paraId="2E42FFD3" w14:textId="77777777" w:rsidR="009E3E43" w:rsidRPr="00F000BE" w:rsidRDefault="009E3E43" w:rsidP="00AD4B2F">
            <w:pPr>
              <w:spacing w:after="0"/>
            </w:pPr>
            <w:r w:rsidRPr="00F000BE">
              <w:rPr>
                <w:rFonts w:cs="Arial"/>
              </w:rPr>
              <w:t xml:space="preserve">Asphalt Concrete Type </w:t>
            </w:r>
            <w:r w:rsidRPr="00F000BE">
              <w:rPr>
                <w:iCs/>
              </w:rPr>
              <w:t>IM-19.0D(T)</w:t>
            </w:r>
          </w:p>
        </w:tc>
        <w:tc>
          <w:tcPr>
            <w:tcW w:w="1080" w:type="dxa"/>
            <w:tcBorders>
              <w:top w:val="nil"/>
              <w:bottom w:val="single" w:sz="6" w:space="0" w:color="auto"/>
            </w:tcBorders>
          </w:tcPr>
          <w:p w14:paraId="5B5CFC0F" w14:textId="77777777" w:rsidR="009E3E43" w:rsidRPr="00F000BE" w:rsidRDefault="009E3E43" w:rsidP="00AD4B2F">
            <w:pPr>
              <w:spacing w:after="0"/>
            </w:pPr>
            <w:r w:rsidRPr="00F000BE">
              <w:t>Ton</w:t>
            </w:r>
          </w:p>
        </w:tc>
      </w:tr>
    </w:tbl>
    <w:p w14:paraId="06B9BC38" w14:textId="6A11D886" w:rsidR="00795A79" w:rsidRPr="0085365C" w:rsidRDefault="00795A79" w:rsidP="0085365C"/>
    <w:sectPr w:rsidR="00795A79" w:rsidRPr="008536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65E5"/>
    <w:multiLevelType w:val="multilevel"/>
    <w:tmpl w:val="4D66C6C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43403F2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36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EDD"/>
    <w:rsid w:val="000646B6"/>
    <w:rsid w:val="00120C75"/>
    <w:rsid w:val="00171B0B"/>
    <w:rsid w:val="001F42A1"/>
    <w:rsid w:val="00230F64"/>
    <w:rsid w:val="00370AFA"/>
    <w:rsid w:val="003E759A"/>
    <w:rsid w:val="003F4EB5"/>
    <w:rsid w:val="00666A09"/>
    <w:rsid w:val="00795A79"/>
    <w:rsid w:val="0085365C"/>
    <w:rsid w:val="008A3A17"/>
    <w:rsid w:val="00935CE9"/>
    <w:rsid w:val="009E3E43"/>
    <w:rsid w:val="00A26F4D"/>
    <w:rsid w:val="00AC7826"/>
    <w:rsid w:val="00AD4B2F"/>
    <w:rsid w:val="00B44509"/>
    <w:rsid w:val="00B6146F"/>
    <w:rsid w:val="00E41E23"/>
    <w:rsid w:val="00E46B55"/>
    <w:rsid w:val="00E82C0B"/>
    <w:rsid w:val="00EC6EDD"/>
    <w:rsid w:val="00F5666F"/>
    <w:rsid w:val="00F573C6"/>
    <w:rsid w:val="00F6493B"/>
    <w:rsid w:val="00FC00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A2E93"/>
  <w15:chartTrackingRefBased/>
  <w15:docId w15:val="{818B497B-3920-4B8F-BA90-FDD74BB88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0D0"/>
    <w:pPr>
      <w:spacing w:after="24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1">
    <w:name w:val="Pa1"/>
    <w:basedOn w:val="Normal"/>
    <w:next w:val="Normal"/>
    <w:uiPriority w:val="99"/>
    <w:rsid w:val="000646B6"/>
    <w:pPr>
      <w:autoSpaceDE w:val="0"/>
      <w:autoSpaceDN w:val="0"/>
      <w:adjustRightInd w:val="0"/>
      <w:spacing w:line="241" w:lineRule="atLeast"/>
    </w:pPr>
    <w:rPr>
      <w:rFonts w:ascii="TimesNewRomanPS" w:eastAsiaTheme="minorHAnsi" w:hAnsi="TimesNewRomanPS" w:cstheme="minorBidi"/>
      <w:sz w:val="24"/>
      <w:szCs w:val="24"/>
    </w:rPr>
  </w:style>
  <w:style w:type="character" w:customStyle="1" w:styleId="A0">
    <w:name w:val="A0"/>
    <w:uiPriority w:val="99"/>
    <w:rsid w:val="000646B6"/>
    <w:rPr>
      <w:rFonts w:cs="TimesNewRomanPS"/>
      <w:color w:val="000000"/>
      <w:sz w:val="18"/>
      <w:szCs w:val="18"/>
    </w:rPr>
  </w:style>
  <w:style w:type="paragraph" w:styleId="ListParagraph">
    <w:name w:val="List Paragraph"/>
    <w:basedOn w:val="Normal"/>
    <w:uiPriority w:val="34"/>
    <w:qFormat/>
    <w:rsid w:val="00B6146F"/>
    <w:pPr>
      <w:ind w:left="720"/>
    </w:pPr>
  </w:style>
  <w:style w:type="paragraph" w:customStyle="1" w:styleId="Pa2">
    <w:name w:val="Pa2"/>
    <w:basedOn w:val="Normal"/>
    <w:next w:val="Normal"/>
    <w:uiPriority w:val="99"/>
    <w:rsid w:val="00F573C6"/>
    <w:pPr>
      <w:autoSpaceDE w:val="0"/>
      <w:autoSpaceDN w:val="0"/>
      <w:adjustRightInd w:val="0"/>
      <w:spacing w:line="241" w:lineRule="atLeast"/>
    </w:pPr>
    <w:rPr>
      <w:rFonts w:ascii="TimesNewRomanPS" w:eastAsiaTheme="minorHAnsi" w:hAnsi="TimesNewRomanPS" w:cstheme="minorBidi"/>
      <w:sz w:val="24"/>
      <w:szCs w:val="24"/>
    </w:rPr>
  </w:style>
  <w:style w:type="character" w:customStyle="1" w:styleId="A2">
    <w:name w:val="A2"/>
    <w:uiPriority w:val="99"/>
    <w:rsid w:val="003E759A"/>
    <w:rPr>
      <w:rFonts w:cs="TimesNewRomanPS"/>
      <w:i/>
      <w:iCs/>
      <w:color w:val="000000"/>
      <w:sz w:val="20"/>
      <w:szCs w:val="20"/>
    </w:rPr>
  </w:style>
  <w:style w:type="paragraph" w:styleId="BalloonText">
    <w:name w:val="Balloon Text"/>
    <w:basedOn w:val="Normal"/>
    <w:link w:val="BalloonTextChar"/>
    <w:uiPriority w:val="99"/>
    <w:semiHidden/>
    <w:unhideWhenUsed/>
    <w:rsid w:val="00370A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0AF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ocument_x0020_Type xmlns="2328571d-b9d5-471b-8d96-2ccb743ec3d4">SS</Document_x0020_Type>
    <Expiration_x0020_Date0 xmlns="2328571d-b9d5-471b-8d96-2ccb743ec3d4" xsi:nil="true"/>
    <Availability_x0020_Date xmlns="2328571d-b9d5-471b-8d96-2ccb743ec3d4">2020-10-08T04:00:00+00:00</Availability_x0020_Date>
    <Specification_x0020_Number xmlns="2328571d-b9d5-471b-8d96-2ccb743ec3d4">SS321-002020-01</Specification_x0020_Number>
    <Usage_x0020_Guidelines xmlns="2328571d-b9d5-471b-8d96-2ccb743ec3d4">For use on all projects</Usage_x0020_Guidelines>
    <Revision_x0020_Date xmlns="2328571d-b9d5-471b-8d96-2ccb743ec3d4">2020-05-26T04:00:00+00:00</Revision_x0020_Date>
    <Division xmlns="2328571d-b9d5-471b-8d96-2ccb743ec3d4">III</Division>
    <Section xmlns="2328571d-b9d5-471b-8d96-2ccb743ec3d4">321</Section>
    <LAP_x0020_Pick_x0020_List xmlns="2328571d-b9d5-471b-8d96-2ccb743ec3d4">false</LAP_x0020_Pick_x0020_List>
    <ASW_x0020_Guidelines xmlns="2328571d-b9d5-471b-8d96-2ccb743ec3d4">All districts.
All schedules.</ASW_x0020_Guidelines>
    <DB_x0020_Pick_x0020_List xmlns="2328571d-b9d5-471b-8d96-2ccb743ec3d4">true</DB_x0020_Pick_x0020_List>
    <ASW_x0020_Pick_x0020_List xmlns="2328571d-b9d5-471b-8d96-2ccb743ec3d4">true</ASW_x0020_Pick_x0020_List>
    <DBB_x0020_Pick_x0020_List xmlns="2328571d-b9d5-471b-8d96-2ccb743ec3d4">true</DBB_x0020_Pick_x0020_List>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7D1449-A0FD-488F-9F46-9B3C1BA2FF8F}"/>
</file>

<file path=customXml/itemProps2.xml><?xml version="1.0" encoding="utf-8"?>
<ds:datastoreItem xmlns:ds="http://schemas.openxmlformats.org/officeDocument/2006/customXml" ds:itemID="{22764051-E4CE-4A1F-9A50-3C7705E0C768}"/>
</file>

<file path=customXml/itemProps3.xml><?xml version="1.0" encoding="utf-8"?>
<ds:datastoreItem xmlns:ds="http://schemas.openxmlformats.org/officeDocument/2006/customXml" ds:itemID="{F261077D-F279-4FD6-8C3E-81723FEB52FE}"/>
</file>

<file path=customXml/itemProps4.xml><?xml version="1.0" encoding="utf-8"?>
<ds:datastoreItem xmlns:ds="http://schemas.openxmlformats.org/officeDocument/2006/customXml" ds:itemID="{28680B37-D2CF-463B-B856-BF39E44D0D6F}"/>
</file>

<file path=docProps/app.xml><?xml version="1.0" encoding="utf-8"?>
<Properties xmlns="http://schemas.openxmlformats.org/officeDocument/2006/extended-properties" xmlns:vt="http://schemas.openxmlformats.org/officeDocument/2006/docPropsVTypes">
  <Template>Normal</Template>
  <TotalTime>178</TotalTime>
  <Pages>2</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Trench Widening</vt:lpstr>
    </vt:vector>
  </TitlesOfParts>
  <Company>Virginia IT Infrastructure Partnership</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Trench Widening</dc:title>
  <dc:subject/>
  <dc:creator>VITA Program</dc:creator>
  <cp:keywords/>
  <dc:description/>
  <cp:lastModifiedBy>Douglas.McAvoy</cp:lastModifiedBy>
  <cp:revision>11</cp:revision>
  <dcterms:created xsi:type="dcterms:W3CDTF">2020-04-30T17:00:00Z</dcterms:created>
  <dcterms:modified xsi:type="dcterms:W3CDTF">2020-10-06T15:15:00Z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vdotMigrationDisposition">
    <vt:lpwstr>529;#Migrate|46cda2e4-059a-44cd-bc44-8a12785a31ab</vt:lpwstr>
  </property>
  <property fmtid="{D5CDD505-2E9C-101B-9397-08002B2CF9AE}" pid="5" name="Purpose of Revision">
    <vt:lpwstr>Reorganize and consolidate Section 315 and its associated Special Provisions and Copied Notes</vt:lpwstr>
  </property>
  <property fmtid="{D5CDD505-2E9C-101B-9397-08002B2CF9AE}" pid="6" name="Requestor">
    <vt:i4>5275</vt:i4>
  </property>
  <property fmtid="{D5CDD505-2E9C-101B-9397-08002B2CF9AE}" pid="7" name="Assigned To0">
    <vt:i4>1631</vt:i4>
  </property>
  <property fmtid="{D5CDD505-2E9C-101B-9397-08002B2CF9AE}" pid="9" name="Doc Type">
    <vt:lpwstr>Specification</vt:lpwstr>
  </property>
  <property fmtid="{D5CDD505-2E9C-101B-9397-08002B2CF9AE}" pid="10" name="Status Comment">
    <vt:lpwstr>Preliminary copy published for use in Schedule contracts.</vt:lpwstr>
  </property>
  <property fmtid="{D5CDD505-2E9C-101B-9397-08002B2CF9AE}" pid="11" name="RCP">
    <vt:lpwstr>398;#Babish, Andy P.E. (VDOT)</vt:lpwstr>
  </property>
  <property fmtid="{D5CDD505-2E9C-101B-9397-08002B2CF9AE}" pid="12" name="Status Date">
    <vt:filetime>2020-10-06T04:00:00Z</vt:filetime>
  </property>
</Properties>
</file>