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565F06" w:rsidRPr="00F000BE" w:rsidP="00565F06" w14:paraId="4E01179E" w14:textId="77777777">
      <w:pPr>
        <w:jc w:val="both"/>
      </w:pPr>
    </w:p>
    <w:p w:rsidR="00565F06" w:rsidRPr="00F000BE" w:rsidP="00565F06" w14:paraId="1AF3ED68" w14:textId="77777777">
      <w:pPr>
        <w:jc w:val="both"/>
      </w:pPr>
    </w:p>
    <w:p w:rsidR="00565F06" w:rsidRPr="007D56FE" w:rsidP="00565F06" w14:paraId="1AE75C91" w14:textId="43F40CC5">
      <w:pPr>
        <w:jc w:val="both"/>
        <w:rPr>
          <w:vanish/>
          <w:color w:val="FF0000"/>
          <w:sz w:val="18"/>
          <w:szCs w:val="18"/>
        </w:rPr>
      </w:pPr>
      <w:r w:rsidRPr="007D56FE">
        <w:rPr>
          <w:b/>
          <w:vanish/>
          <w:color w:val="FF0000"/>
          <w:spacing w:val="-3"/>
          <w:sz w:val="18"/>
          <w:szCs w:val="18"/>
        </w:rPr>
        <w:t xml:space="preserve">GUIDELINES </w:t>
      </w:r>
      <w:r w:rsidRPr="007D56FE">
        <w:rPr>
          <w:vanish/>
          <w:color w:val="FF0000"/>
          <w:spacing w:val="-3"/>
          <w:sz w:val="18"/>
          <w:szCs w:val="18"/>
        </w:rPr>
        <w:t>—</w:t>
      </w:r>
      <w:r w:rsidRPr="007D56FE">
        <w:rPr>
          <w:b/>
          <w:vanish/>
          <w:color w:val="FF0000"/>
          <w:spacing w:val="-3"/>
          <w:sz w:val="18"/>
          <w:szCs w:val="18"/>
        </w:rPr>
        <w:t xml:space="preserve"> </w:t>
      </w:r>
      <w:r w:rsidRPr="007D56FE">
        <w:rPr>
          <w:vanish/>
          <w:color w:val="FF0000"/>
          <w:spacing w:val="-3"/>
          <w:sz w:val="18"/>
          <w:szCs w:val="18"/>
        </w:rPr>
        <w:t>Use only when VDOT specifies the notice to proceed date rather than the Contractor selecting the date as stated in Section 101.02.</w:t>
      </w:r>
      <w:r w:rsidRPr="007D56FE" w:rsidR="007610EA">
        <w:rPr>
          <w:vanish/>
          <w:color w:val="FF0000"/>
          <w:sz w:val="18"/>
        </w:rPr>
        <w:t xml:space="preserve"> {2007-</w:t>
      </w:r>
      <w:hyperlink w:history="1">
        <w:r w:rsidRPr="007D56FE" w:rsidR="00674205">
          <w:rPr>
            <w:rStyle w:val="Hyperlink"/>
            <w:vanish/>
            <w:color w:val="FF0000"/>
            <w:sz w:val="18"/>
            <w:szCs w:val="18"/>
          </w:rPr>
          <w:t>c100h01</w:t>
        </w:r>
      </w:hyperlink>
      <w:r w:rsidRPr="007D56FE" w:rsidR="007610EA">
        <w:rPr>
          <w:vanish/>
          <w:color w:val="FF0000"/>
          <w:sz w:val="18"/>
        </w:rPr>
        <w:t>}</w:t>
      </w:r>
    </w:p>
    <w:p w:rsidR="00565F06" w:rsidRPr="007D56FE" w:rsidP="00565F06" w14:paraId="38D6D97A" w14:textId="77777777">
      <w:pPr>
        <w:jc w:val="both"/>
        <w:rPr>
          <w:vanish/>
          <w:color w:val="FF0000"/>
          <w:sz w:val="18"/>
          <w:szCs w:val="18"/>
        </w:rPr>
      </w:pPr>
    </w:p>
    <w:p w:rsidR="00565F06" w:rsidRPr="00F000BE" w:rsidP="00565F06" w14:paraId="2561FD01" w14:textId="42599D76">
      <w:pPr>
        <w:autoSpaceDE w:val="0"/>
        <w:autoSpaceDN w:val="0"/>
        <w:adjustRightInd w:val="0"/>
        <w:ind w:left="2160" w:hanging="2160"/>
        <w:jc w:val="both"/>
      </w:pPr>
      <w:hyperlink r:id="rId8" w:tooltip="NOTICE TO PROCEED DATE FOR THIS CONTRACT 7-12-16 Guidelines-Use only when VDOT specifies the notice to proceed date rather than the Contractor selecting the date as stated in Section 101.02.{2007-c100h01}" w:history="1">
        <w:r w:rsidRPr="00E971BB" w:rsidR="008B7DD5">
          <w:rPr>
            <w:rStyle w:val="Hyperlink"/>
            <w:rFonts w:cs="Arial"/>
            <w:b/>
            <w:bCs/>
          </w:rPr>
          <w:t>cn105-000110-00</w:t>
        </w:r>
      </w:hyperlink>
      <w:r w:rsidRPr="00F000BE">
        <w:tab/>
      </w:r>
      <w:r w:rsidR="00380DC1">
        <w:rPr>
          <w:b/>
          <w:bCs/>
          <w:u w:val="single"/>
        </w:rPr>
        <w:t>SECTION 105.01—N</w:t>
      </w:r>
      <w:r w:rsidRPr="00F000BE">
        <w:rPr>
          <w:b/>
          <w:bCs/>
          <w:u w:val="single"/>
        </w:rPr>
        <w:t>OTICE TO PROCEE</w:t>
      </w:r>
      <w:r w:rsidR="00380DC1">
        <w:rPr>
          <w:b/>
          <w:bCs/>
          <w:u w:val="single"/>
        </w:rPr>
        <w:t>D</w:t>
      </w:r>
      <w:r>
        <w:rPr>
          <w:b/>
          <w:bCs/>
        </w:rPr>
        <w:fldChar w:fldCharType="begin"/>
      </w:r>
      <w:r w:rsidRPr="00F000BE">
        <w:instrText xml:space="preserve"> TC "</w:instrText>
      </w:r>
      <w:bookmarkStart w:id="0" w:name="_Toc215414746"/>
      <w:bookmarkStart w:id="1" w:name="_Toc218997555"/>
      <w:bookmarkStart w:id="2" w:name="_Toc223323800"/>
      <w:bookmarkStart w:id="3" w:name="_Toc447708087"/>
      <w:bookmarkStart w:id="4" w:name="_Toc448144459"/>
      <w:bookmarkStart w:id="5" w:name="_Toc448736957"/>
      <w:r w:rsidRPr="001878B8" w:rsidR="001878B8">
        <w:rPr>
          <w:b/>
        </w:rPr>
        <w:instrText>cn105-000110-00</w:instrText>
      </w:r>
      <w:bookmarkStart w:id="6" w:name="_GoBack"/>
      <w:bookmarkEnd w:id="6"/>
      <w:r w:rsidRPr="00F000BE">
        <w:rPr>
          <w:spacing w:val="-3"/>
        </w:rPr>
        <w:instrText>    </w:instrText>
      </w:r>
      <w:r w:rsidRPr="00380DC1" w:rsidR="00380DC1">
        <w:rPr>
          <w:b/>
          <w:bCs/>
        </w:rPr>
        <w:instrText>SEC</w:instrText>
      </w:r>
      <w:r w:rsidR="000D7D75">
        <w:rPr>
          <w:b/>
          <w:bCs/>
        </w:rPr>
        <w:instrText>.</w:instrText>
      </w:r>
      <w:r w:rsidRPr="00380DC1" w:rsidR="00380DC1">
        <w:rPr>
          <w:b/>
          <w:bCs/>
        </w:rPr>
        <w:instrText xml:space="preserve"> 105.01—NOTICE TO PROCEED</w:instrText>
      </w:r>
      <w:r w:rsidRPr="00380DC1">
        <w:rPr>
          <w:bCs/>
        </w:rPr>
        <w:instrText xml:space="preserve"> </w:instrText>
      </w:r>
      <w:r w:rsidRPr="00380DC1" w:rsidR="00380DC1">
        <w:rPr>
          <w:bCs/>
        </w:rPr>
        <w:instrText>(</w:instrText>
      </w:r>
      <w:r w:rsidRPr="00380DC1">
        <w:rPr>
          <w:bCs/>
        </w:rPr>
        <w:instrText>T</w:instrText>
      </w:r>
      <w:r w:rsidR="00380DC1">
        <w:rPr>
          <w:bCs/>
        </w:rPr>
        <w:instrText>his</w:instrText>
      </w:r>
      <w:r w:rsidRPr="00380DC1">
        <w:rPr>
          <w:bCs/>
        </w:rPr>
        <w:instrText xml:space="preserve"> C</w:instrText>
      </w:r>
      <w:r w:rsidR="00380DC1">
        <w:rPr>
          <w:bCs/>
        </w:rPr>
        <w:instrText>ontract</w:instrText>
      </w:r>
      <w:r w:rsidRPr="00380DC1" w:rsidR="00380DC1">
        <w:rPr>
          <w:bCs/>
        </w:rPr>
        <w:instrText>)</w:instrText>
      </w:r>
      <w:r w:rsidRPr="00F000BE">
        <w:rPr>
          <w:bCs/>
        </w:rPr>
        <w:instrText xml:space="preserve">  </w:instrText>
      </w:r>
      <w:r w:rsidR="00B073E8">
        <w:instrText>7-12-16</w:instrText>
      </w:r>
      <w:r w:rsidRPr="00F000BE">
        <w:instrText xml:space="preserve"> (SPCN)</w:instrText>
      </w:r>
      <w:bookmarkEnd w:id="0"/>
      <w:bookmarkEnd w:id="1"/>
      <w:bookmarkEnd w:id="2"/>
      <w:bookmarkEnd w:id="3"/>
      <w:bookmarkEnd w:id="4"/>
      <w:bookmarkEnd w:id="5"/>
      <w:r w:rsidRPr="00F000BE">
        <w:instrText xml:space="preserve">" \F C \L "1" </w:instrText>
      </w:r>
      <w:r>
        <w:rPr>
          <w:b/>
          <w:bCs/>
        </w:rPr>
        <w:fldChar w:fldCharType="end"/>
      </w:r>
      <w:r w:rsidRPr="00F000BE">
        <w:rPr>
          <w:bCs/>
        </w:rPr>
        <w:t xml:space="preserve"> </w:t>
      </w:r>
      <w:r w:rsidRPr="00F000BE">
        <w:rPr>
          <w:b/>
        </w:rPr>
        <w:t>—</w:t>
      </w:r>
      <w:r w:rsidRPr="00F000BE">
        <w:rPr>
          <w:bCs/>
        </w:rPr>
        <w:t xml:space="preserve"> </w:t>
      </w:r>
      <w:r w:rsidRPr="00F000BE">
        <w:t xml:space="preserve">The Notice to Proceed date for this contract will be </w:t>
      </w:r>
      <w:r w:rsidRPr="00D405F0">
        <w:rPr>
          <w:bCs/>
          <w:i/>
          <w:iCs/>
          <w:color w:val="FF0000"/>
          <w:highlight w:val="yellow"/>
        </w:rPr>
        <w:t>fill-in date</w:t>
      </w:r>
      <w:r w:rsidRPr="00F000BE">
        <w:rPr>
          <w:bCs/>
        </w:rPr>
        <w:t>.</w:t>
      </w:r>
    </w:p>
    <w:p w:rsidR="00565F06" w:rsidRPr="00F000BE" w:rsidP="00565F06" w14:paraId="3B33E77B" w14:textId="77777777">
      <w:pPr>
        <w:autoSpaceDE w:val="0"/>
        <w:autoSpaceDN w:val="0"/>
        <w:adjustRightInd w:val="0"/>
        <w:ind w:left="2160"/>
        <w:jc w:val="both"/>
      </w:pPr>
    </w:p>
    <w:p w:rsidR="00565F06" w:rsidRPr="007D1380" w:rsidP="00565F06" w14:paraId="51442489" w14:textId="132A5915">
      <w:pPr>
        <w:autoSpaceDE w:val="0"/>
        <w:autoSpaceDN w:val="0"/>
        <w:adjustRightInd w:val="0"/>
        <w:ind w:left="2160"/>
        <w:jc w:val="both"/>
        <w:rPr>
          <w:rFonts w:cs="Arial"/>
        </w:rPr>
      </w:pPr>
      <w:r w:rsidRPr="007D1380">
        <w:t>7-12-16</w:t>
      </w:r>
      <w:r w:rsidRPr="007D1380">
        <w:t xml:space="preserve"> (SPCN)</w:t>
      </w:r>
      <w:r w:rsidRPr="007D1380" w:rsidR="00DC121F">
        <w:rPr>
          <w:rStyle w:val="Hyperlink"/>
          <w:bCs/>
          <w:color w:val="auto"/>
          <w:u w:val="none"/>
        </w:rPr>
        <w:t xml:space="preserve"> [formerly </w:t>
      </w:r>
      <w:hyperlink r:id="rId9" w:tooltip="NOTICE TO PROCEED DATE FOR THIS CONTRACT 7-12-16 Guidelines-Use only when VDOT specifies the notice to proceed date rather than the Contractor selecting the date as stated in Section 101.02.{2007-c100h01}" w:history="1">
        <w:r w:rsidRPr="007D1380" w:rsidR="007D1380">
          <w:rPr>
            <w:rStyle w:val="Hyperlink"/>
            <w:bCs/>
            <w:color w:val="auto"/>
            <w:u w:val="none"/>
          </w:rPr>
          <w:t>cn105-010100-00</w:t>
        </w:r>
      </w:hyperlink>
      <w:r w:rsidRPr="007D1380" w:rsidR="00DC121F">
        <w:rPr>
          <w:rStyle w:val="Hyperlink"/>
          <w:bCs/>
          <w:color w:val="auto"/>
          <w:u w:val="none"/>
        </w:rPr>
        <w:t>]</w:t>
      </w:r>
    </w:p>
    <w:p w:rsidR="00565F06" w:rsidP="00565F06" w14:paraId="3E3A8738" w14:textId="77777777">
      <w:pPr>
        <w:ind w:left="2160"/>
        <w:jc w:val="both"/>
      </w:pPr>
    </w:p>
    <w:p w:rsidR="00565F06" w:rsidP="00565F06" w14:paraId="666234F3" w14:textId="77777777">
      <w:pPr>
        <w:ind w:left="2160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7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62167"/>
    <w:rsid w:val="00091B33"/>
    <w:rsid w:val="000A67BF"/>
    <w:rsid w:val="000C412B"/>
    <w:rsid w:val="000D7D75"/>
    <w:rsid w:val="000F194F"/>
    <w:rsid w:val="00107AEC"/>
    <w:rsid w:val="00117EF8"/>
    <w:rsid w:val="00130682"/>
    <w:rsid w:val="00173959"/>
    <w:rsid w:val="001878B8"/>
    <w:rsid w:val="00195503"/>
    <w:rsid w:val="001A09AC"/>
    <w:rsid w:val="001A305C"/>
    <w:rsid w:val="001C4040"/>
    <w:rsid w:val="00200A57"/>
    <w:rsid w:val="002147D7"/>
    <w:rsid w:val="002149BE"/>
    <w:rsid w:val="002254AA"/>
    <w:rsid w:val="0025109E"/>
    <w:rsid w:val="00251DF8"/>
    <w:rsid w:val="00262A34"/>
    <w:rsid w:val="00293D6E"/>
    <w:rsid w:val="002A3253"/>
    <w:rsid w:val="002C2356"/>
    <w:rsid w:val="002D6861"/>
    <w:rsid w:val="002D7FF5"/>
    <w:rsid w:val="002F306A"/>
    <w:rsid w:val="00304D52"/>
    <w:rsid w:val="00330195"/>
    <w:rsid w:val="00380DC1"/>
    <w:rsid w:val="003D0DE2"/>
    <w:rsid w:val="00407155"/>
    <w:rsid w:val="00413782"/>
    <w:rsid w:val="00432F61"/>
    <w:rsid w:val="004425F3"/>
    <w:rsid w:val="00450017"/>
    <w:rsid w:val="004525CD"/>
    <w:rsid w:val="00461FF3"/>
    <w:rsid w:val="00472E9D"/>
    <w:rsid w:val="00477527"/>
    <w:rsid w:val="0048491E"/>
    <w:rsid w:val="004A1536"/>
    <w:rsid w:val="004B4B71"/>
    <w:rsid w:val="004B7FD4"/>
    <w:rsid w:val="004C068D"/>
    <w:rsid w:val="004C14A1"/>
    <w:rsid w:val="004F533C"/>
    <w:rsid w:val="004F6C7B"/>
    <w:rsid w:val="00510D35"/>
    <w:rsid w:val="00512CBC"/>
    <w:rsid w:val="00516FCB"/>
    <w:rsid w:val="00546DC5"/>
    <w:rsid w:val="00562D50"/>
    <w:rsid w:val="00565F06"/>
    <w:rsid w:val="00574B46"/>
    <w:rsid w:val="00583A3E"/>
    <w:rsid w:val="00586DC9"/>
    <w:rsid w:val="005A5B11"/>
    <w:rsid w:val="005B2DE5"/>
    <w:rsid w:val="005C180C"/>
    <w:rsid w:val="005D4900"/>
    <w:rsid w:val="005F0785"/>
    <w:rsid w:val="00627601"/>
    <w:rsid w:val="00674205"/>
    <w:rsid w:val="00676336"/>
    <w:rsid w:val="006825BF"/>
    <w:rsid w:val="00694BFA"/>
    <w:rsid w:val="006A07F3"/>
    <w:rsid w:val="006A2261"/>
    <w:rsid w:val="006A2AFF"/>
    <w:rsid w:val="006A375E"/>
    <w:rsid w:val="006A3977"/>
    <w:rsid w:val="006B1BA8"/>
    <w:rsid w:val="006B3094"/>
    <w:rsid w:val="006C3E33"/>
    <w:rsid w:val="006F17B7"/>
    <w:rsid w:val="0071701C"/>
    <w:rsid w:val="0072326D"/>
    <w:rsid w:val="00725454"/>
    <w:rsid w:val="00725DFC"/>
    <w:rsid w:val="00744F76"/>
    <w:rsid w:val="007610EA"/>
    <w:rsid w:val="0078729B"/>
    <w:rsid w:val="007A334E"/>
    <w:rsid w:val="007B5EB2"/>
    <w:rsid w:val="007B6124"/>
    <w:rsid w:val="007C3D79"/>
    <w:rsid w:val="007D1380"/>
    <w:rsid w:val="007D4C15"/>
    <w:rsid w:val="007D56FE"/>
    <w:rsid w:val="007E4833"/>
    <w:rsid w:val="00827123"/>
    <w:rsid w:val="00833443"/>
    <w:rsid w:val="00837D9D"/>
    <w:rsid w:val="0086219C"/>
    <w:rsid w:val="00862AD9"/>
    <w:rsid w:val="00866C5C"/>
    <w:rsid w:val="00867F9E"/>
    <w:rsid w:val="00880B39"/>
    <w:rsid w:val="008A523E"/>
    <w:rsid w:val="008B7DD5"/>
    <w:rsid w:val="008C150D"/>
    <w:rsid w:val="008E0FBA"/>
    <w:rsid w:val="008E7F0D"/>
    <w:rsid w:val="009010A5"/>
    <w:rsid w:val="0091318C"/>
    <w:rsid w:val="00923FAB"/>
    <w:rsid w:val="00944D71"/>
    <w:rsid w:val="00944F39"/>
    <w:rsid w:val="009544D8"/>
    <w:rsid w:val="0096455F"/>
    <w:rsid w:val="00965CE6"/>
    <w:rsid w:val="009676B5"/>
    <w:rsid w:val="009779CA"/>
    <w:rsid w:val="009A5EE3"/>
    <w:rsid w:val="009D24D6"/>
    <w:rsid w:val="009F3964"/>
    <w:rsid w:val="00A00FF3"/>
    <w:rsid w:val="00A0105E"/>
    <w:rsid w:val="00A02BF6"/>
    <w:rsid w:val="00A06350"/>
    <w:rsid w:val="00A1617D"/>
    <w:rsid w:val="00A21ABA"/>
    <w:rsid w:val="00A51519"/>
    <w:rsid w:val="00A65374"/>
    <w:rsid w:val="00A66530"/>
    <w:rsid w:val="00AA49D0"/>
    <w:rsid w:val="00AA5C1E"/>
    <w:rsid w:val="00AB38F9"/>
    <w:rsid w:val="00B03E56"/>
    <w:rsid w:val="00B073E8"/>
    <w:rsid w:val="00B11F8B"/>
    <w:rsid w:val="00B26F38"/>
    <w:rsid w:val="00B27C1F"/>
    <w:rsid w:val="00B33BC5"/>
    <w:rsid w:val="00B72EF4"/>
    <w:rsid w:val="00B91BB4"/>
    <w:rsid w:val="00BB2A76"/>
    <w:rsid w:val="00BB3332"/>
    <w:rsid w:val="00BB4600"/>
    <w:rsid w:val="00BB64D7"/>
    <w:rsid w:val="00BC0A28"/>
    <w:rsid w:val="00BC7D8C"/>
    <w:rsid w:val="00BE1E9F"/>
    <w:rsid w:val="00BE3329"/>
    <w:rsid w:val="00C011C3"/>
    <w:rsid w:val="00C46D4D"/>
    <w:rsid w:val="00C56BE2"/>
    <w:rsid w:val="00C640E3"/>
    <w:rsid w:val="00C77CDF"/>
    <w:rsid w:val="00C82CF6"/>
    <w:rsid w:val="00C927B8"/>
    <w:rsid w:val="00CA5396"/>
    <w:rsid w:val="00CE28D8"/>
    <w:rsid w:val="00CF0815"/>
    <w:rsid w:val="00D07472"/>
    <w:rsid w:val="00D17E07"/>
    <w:rsid w:val="00D37731"/>
    <w:rsid w:val="00D405F0"/>
    <w:rsid w:val="00D7425B"/>
    <w:rsid w:val="00D74A4C"/>
    <w:rsid w:val="00D82EF0"/>
    <w:rsid w:val="00D86633"/>
    <w:rsid w:val="00DA60C9"/>
    <w:rsid w:val="00DC121F"/>
    <w:rsid w:val="00DD28D0"/>
    <w:rsid w:val="00DD55AF"/>
    <w:rsid w:val="00E049D1"/>
    <w:rsid w:val="00E1261C"/>
    <w:rsid w:val="00E33451"/>
    <w:rsid w:val="00E34F5C"/>
    <w:rsid w:val="00E52DEB"/>
    <w:rsid w:val="00E67DFC"/>
    <w:rsid w:val="00E75AF1"/>
    <w:rsid w:val="00E91EB6"/>
    <w:rsid w:val="00E971BB"/>
    <w:rsid w:val="00EB28CC"/>
    <w:rsid w:val="00ED6D00"/>
    <w:rsid w:val="00EF4E5C"/>
    <w:rsid w:val="00F000BE"/>
    <w:rsid w:val="00F234D3"/>
    <w:rsid w:val="00F50934"/>
    <w:rsid w:val="00F63487"/>
    <w:rsid w:val="00F67A7B"/>
    <w:rsid w:val="00F92FF8"/>
    <w:rsid w:val="00FA57F8"/>
    <w:rsid w:val="00FC617E"/>
    <w:rsid w:val="00FC76F5"/>
    <w:rsid w:val="00FD5678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5FB45A8F-2229-4633-B36D-73988DB3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105-000110-00.docx" TargetMode="External" /><Relationship Id="rId9" Type="http://schemas.openxmlformats.org/officeDocument/2006/relationships/hyperlink" Target="HTTPS://COVGOV.SHAREPOINT.COM/sites/TM-VDOT-SC-Specifications-External/2016_Standard_Specifications/cn105-010100-00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SPCN</Document_x0020_Type>
    <Specification_x0020_Number xmlns="2328571d-b9d5-471b-8d96-2ccb743ec3d4">cn105-000110-00</Specification_x0020_Number>
    <Status xmlns="2328571d-b9d5-471b-8d96-2ccb743ec3d4">Active</Status>
    <Usage_x0020_Guidelines xmlns="2328571d-b9d5-471b-8d96-2ccb743ec3d4">Use only when VDOT specifies the notice to proceed date rather than the Contractor selecting the date as stated in Section 101.02.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</Division>
    <Section xmlns="2328571d-b9d5-471b-8d96-2ccb743ec3d4">105</Section>
    <LAP_x0020_Pick_x0020_List xmlns="2328571d-b9d5-471b-8d96-2ccb743ec3d4">false</LAP_x0020_Pick_x0020_List>
    <Revision_x0020_Date xmlns="2328571d-b9d5-471b-8d96-2ccb743ec3d4">2016-07-12T04:00:00+00:00</Revision_x0020_Date>
    <ASW_x0020_Guidelines xmlns="2328571d-b9d5-471b-8d96-2ccb743ec3d4">All Districts.
All Schedules.</ASW_x0020_Guideline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>
  <ds:schemaRefs/>
</ds:datastoreItem>
</file>

<file path=customXml/itemProps2.xml><?xml version="1.0" encoding="utf-8"?>
<ds:datastoreItem xmlns:ds="http://schemas.openxmlformats.org/officeDocument/2006/customXml" ds:itemID="{8F032CB8-D1FB-45C1-B8EE-4EF3066A21DC}">
  <ds:schemaRefs/>
</ds:datastoreItem>
</file>

<file path=customXml/itemProps3.xml><?xml version="1.0" encoding="utf-8"?>
<ds:datastoreItem xmlns:ds="http://schemas.openxmlformats.org/officeDocument/2006/customXml" ds:itemID="{DF255426-AB94-418F-AB8A-3A69C8282CE7}">
  <ds:schemaRefs/>
</ds:datastoreItem>
</file>

<file path=customXml/itemProps4.xml><?xml version="1.0" encoding="utf-8"?>
<ds:datastoreItem xmlns:ds="http://schemas.openxmlformats.org/officeDocument/2006/customXml" ds:itemID="{9CDA1F74-E5DE-492B-8239-9D9323A89F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TO PROCEED DATE FOR THIS CONTRACT</dc:title>
  <dc:creator>vdot</dc:creator>
  <cp:lastModifiedBy>Gayle, David W. (VDOT)</cp:lastModifiedBy>
  <cp:revision>130</cp:revision>
  <dcterms:created xsi:type="dcterms:W3CDTF">2015-10-15T17:45:00Z</dcterms:created>
  <dcterms:modified xsi:type="dcterms:W3CDTF">2018-12-18T03:23:00Z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https://outsidevdot.cov.virginia.gov/P0JQP/2016_Standard_Specifications/Forms/PLGG.aspx?View={059C9ADD-1EEB-4E46-8248-51123B71B3E6}&amp;FilterField1=ID&amp;FilterValue1=69,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http://pdmsstg.cov.virginia.gov/const/specs/Specifications/cn105-010100-00.docx, cn105-010100-00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105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cn105-010100-00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Use only when VDOT specifies the notice to proceed date rather than the Contractor selecting the date as stated in Section 101.02.{2007-c100h01}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