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61B8A" w:rsidRPr="00F000BE" w:rsidP="00D61B8A" w14:paraId="32BEA9F2" w14:textId="77777777">
      <w:pPr>
        <w:ind w:left="1440" w:hanging="1440"/>
        <w:jc w:val="both"/>
      </w:pPr>
    </w:p>
    <w:p w:rsidR="00D61B8A" w:rsidRPr="00F000BE" w:rsidP="00D61B8A" w14:paraId="578A7018" w14:textId="77777777">
      <w:pPr>
        <w:ind w:left="1440" w:hanging="1440"/>
        <w:jc w:val="both"/>
      </w:pPr>
    </w:p>
    <w:p w:rsidR="00D61B8A" w:rsidRPr="00FE5CA7" w:rsidP="00D61B8A" w14:paraId="74FB37FC" w14:textId="1EC9779D">
      <w:pPr>
        <w:jc w:val="both"/>
        <w:rPr>
          <w:vanish/>
          <w:color w:val="FF0000"/>
          <w:sz w:val="18"/>
        </w:rPr>
      </w:pPr>
      <w:r w:rsidRPr="00FE5CA7">
        <w:rPr>
          <w:b/>
          <w:vanish/>
          <w:color w:val="FF0000"/>
          <w:spacing w:val="-3"/>
          <w:sz w:val="18"/>
        </w:rPr>
        <w:t xml:space="preserve">GUIDELINES — </w:t>
      </w:r>
      <w:r w:rsidRPr="00FE5CA7">
        <w:rPr>
          <w:vanish/>
          <w:color w:val="FF0000"/>
          <w:spacing w:val="-3"/>
          <w:sz w:val="18"/>
        </w:rPr>
        <w:t>For projects with mobile operations such as asphalt</w:t>
      </w:r>
      <w:r w:rsidRPr="00FE5CA7">
        <w:rPr>
          <w:vanish/>
          <w:color w:val="FF0000"/>
          <w:sz w:val="18"/>
        </w:rPr>
        <w:t xml:space="preserve"> schedule projects.</w:t>
      </w:r>
      <w:r w:rsidRPr="00FE5CA7" w:rsidR="00E41387">
        <w:rPr>
          <w:vanish/>
          <w:color w:val="FF0000"/>
          <w:sz w:val="18"/>
        </w:rPr>
        <w:t xml:space="preserve"> {2007-</w:t>
      </w:r>
      <w:hyperlink w:history="1">
        <w:r w:rsidRPr="00FE5CA7" w:rsidR="00813226">
          <w:rPr>
            <w:rStyle w:val="Hyperlink"/>
            <w:bCs/>
            <w:vanish/>
            <w:color w:val="FF0000"/>
            <w:sz w:val="18"/>
            <w:szCs w:val="24"/>
          </w:rPr>
          <w:t>c107gm0</w:t>
        </w:r>
      </w:hyperlink>
      <w:r w:rsidRPr="00FE5CA7" w:rsidR="00E41387">
        <w:rPr>
          <w:vanish/>
          <w:color w:val="FF0000"/>
          <w:sz w:val="18"/>
        </w:rPr>
        <w:t>}</w:t>
      </w:r>
    </w:p>
    <w:p w:rsidR="00D61B8A" w:rsidRPr="00FE5CA7" w:rsidP="00D61B8A" w14:paraId="649FB4A2" w14:textId="77777777">
      <w:pPr>
        <w:jc w:val="both"/>
        <w:rPr>
          <w:vanish/>
          <w:color w:val="FF0000"/>
          <w:sz w:val="18"/>
        </w:rPr>
      </w:pPr>
    </w:p>
    <w:p w:rsidR="00D61B8A" w:rsidRPr="00F000BE" w:rsidP="00D61B8A" w14:paraId="5DE18EE1" w14:textId="1F7C52A3">
      <w:pPr>
        <w:ind w:left="2160" w:hanging="2160"/>
        <w:jc w:val="both"/>
      </w:pPr>
      <w:hyperlink r:id="rId8" w:tooltip="SECTION 107.21(d) CONSTRUCTION LOADING OF STRUCTURES (Schedule Work) 10-30-17 Guidelines-For projects with mobile operations such as asphalt schedule projects.{2007-c107gm0}" w:history="1">
        <w:r w:rsidRPr="00E971BB" w:rsidR="004C6027">
          <w:rPr>
            <w:rStyle w:val="Hyperlink"/>
            <w:rFonts w:cs="Arial"/>
            <w:b/>
            <w:bCs/>
          </w:rPr>
          <w:t>cn107-002110-01</w:t>
        </w:r>
      </w:hyperlink>
      <w:r w:rsidRPr="00F000BE">
        <w:tab/>
      </w:r>
      <w:r w:rsidRPr="00F000BE">
        <w:rPr>
          <w:rFonts w:cs="Arial"/>
          <w:b/>
        </w:rPr>
        <w:t>SECTION 107.21</w:t>
      </w:r>
      <w:r w:rsidRPr="00F000BE">
        <w:rPr>
          <w:rFonts w:cs="Arial"/>
        </w:rPr>
        <w:t xml:space="preserve">(d) </w:t>
      </w:r>
      <w:r w:rsidRPr="00F000BE">
        <w:rPr>
          <w:rFonts w:cs="Arial"/>
          <w:b/>
        </w:rPr>
        <w:t>CONSTRUCTION LOADING</w:t>
      </w:r>
      <w:r w:rsidRPr="00F000BE">
        <w:rPr>
          <w:rFonts w:cs="Arial"/>
        </w:rPr>
        <w:t xml:space="preserve"> </w:t>
      </w:r>
      <w:r w:rsidRPr="00F000BE">
        <w:rPr>
          <w:rFonts w:cs="Arial"/>
          <w:b/>
        </w:rPr>
        <w:t>OF STRUCTURES</w:t>
      </w:r>
      <w:r>
        <w:rPr>
          <w:rFonts w:cs="Arial"/>
          <w:b/>
        </w:rPr>
        <w:fldChar w:fldCharType="begin"/>
      </w:r>
      <w:r w:rsidRPr="00F000BE">
        <w:instrText xml:space="preserve"> TC "</w:instrText>
      </w:r>
      <w:bookmarkStart w:id="0" w:name="_Toc446420455"/>
      <w:bookmarkStart w:id="1" w:name="_Toc447708092"/>
      <w:bookmarkStart w:id="2" w:name="_Toc448144464"/>
      <w:r w:rsidRPr="00C35CC0" w:rsidR="00C35CC0">
        <w:rPr>
          <w:b/>
        </w:rPr>
        <w:instrText>cn107-002110-01</w:instrText>
      </w:r>
      <w:bookmarkStart w:id="3" w:name="_GoBack"/>
      <w:bookmarkEnd w:id="3"/>
      <w:r w:rsidRPr="00F000BE">
        <w:rPr>
          <w:spacing w:val="-3"/>
        </w:rPr>
        <w:instrText>    </w:instrText>
      </w:r>
      <w:r w:rsidRPr="00F000BE">
        <w:rPr>
          <w:rFonts w:cs="Arial"/>
          <w:b/>
        </w:rPr>
        <w:instrText>SEC. 107.21</w:instrText>
      </w:r>
      <w:r w:rsidRPr="00F000BE">
        <w:rPr>
          <w:rFonts w:cs="Arial"/>
        </w:rPr>
        <w:instrText xml:space="preserve">(d) </w:instrText>
      </w:r>
      <w:r w:rsidRPr="00F000BE">
        <w:rPr>
          <w:rFonts w:cs="Arial"/>
          <w:b/>
        </w:rPr>
        <w:instrText>CONST. LOADING</w:instrText>
      </w:r>
      <w:r w:rsidRPr="00F000BE">
        <w:rPr>
          <w:rFonts w:cs="Arial"/>
        </w:rPr>
        <w:instrText xml:space="preserve"> </w:instrText>
      </w:r>
      <w:r w:rsidRPr="00F000BE">
        <w:rPr>
          <w:rFonts w:cs="Arial"/>
          <w:b/>
        </w:rPr>
        <w:instrText>OF STRUCT.</w:instrText>
      </w:r>
      <w:r w:rsidRPr="00F000BE">
        <w:rPr>
          <w:rFonts w:cs="Arial"/>
        </w:rPr>
        <w:instrText xml:space="preserve">  </w:instrText>
      </w:r>
      <w:r w:rsidR="003C7A39">
        <w:instrText>10</w:instrText>
      </w:r>
      <w:r w:rsidR="00241927">
        <w:instrText>-</w:instrText>
      </w:r>
      <w:r w:rsidR="003C7A39">
        <w:instrText>30</w:instrText>
      </w:r>
      <w:r w:rsidR="00241927">
        <w:instrText>-1</w:instrText>
      </w:r>
      <w:r w:rsidR="003C7A39">
        <w:instrText>7</w:instrText>
      </w:r>
      <w:r w:rsidRPr="00F000BE">
        <w:rPr>
          <w:rFonts w:cs="Arial"/>
        </w:rPr>
        <w:instrText xml:space="preserve"> (SPCN)</w:instrText>
      </w:r>
      <w:bookmarkEnd w:id="0"/>
      <w:bookmarkEnd w:id="1"/>
      <w:bookmarkEnd w:id="2"/>
      <w:r w:rsidRPr="00F000BE">
        <w:instrText xml:space="preserve">" \f C \l "1" </w:instrText>
      </w:r>
      <w:r>
        <w:rPr>
          <w:rFonts w:cs="Arial"/>
          <w:b/>
        </w:rPr>
        <w:fldChar w:fldCharType="end"/>
      </w:r>
      <w:r w:rsidRPr="00F000BE">
        <w:rPr>
          <w:rFonts w:cs="Arial"/>
          <w:b/>
        </w:rPr>
        <w:t xml:space="preserve"> </w:t>
      </w:r>
      <w:r w:rsidRPr="00F000BE">
        <w:rPr>
          <w:rFonts w:cs="Arial"/>
          <w:bCs/>
        </w:rPr>
        <w:t>of the Specifications</w:t>
      </w:r>
      <w:r w:rsidRPr="00F000BE">
        <w:rPr>
          <w:rFonts w:cs="Arial"/>
        </w:rPr>
        <w:t xml:space="preserve"> is replaced with the following:</w:t>
      </w:r>
    </w:p>
    <w:p w:rsidR="00D61B8A" w:rsidRPr="00F000BE" w:rsidP="00D61B8A" w14:paraId="31333A63" w14:textId="77777777">
      <w:pPr>
        <w:ind w:left="2520"/>
        <w:jc w:val="both"/>
      </w:pPr>
    </w:p>
    <w:p w:rsidR="00D61B8A" w:rsidRPr="00F000BE" w:rsidP="00D61B8A" w14:paraId="1553A9FB" w14:textId="25606B04">
      <w:pPr>
        <w:ind w:left="2880" w:hanging="360"/>
        <w:jc w:val="both"/>
        <w:rPr>
          <w:rFonts w:cs="Arial"/>
        </w:rPr>
      </w:pPr>
      <w:r w:rsidRPr="00F000BE">
        <w:rPr>
          <w:rFonts w:cs="Arial"/>
        </w:rPr>
        <w:t>(d)</w:t>
      </w:r>
      <w:r w:rsidRPr="00F000BE">
        <w:rPr>
          <w:rFonts w:cs="Arial"/>
        </w:rPr>
        <w:tab/>
      </w:r>
      <w:r w:rsidRPr="00F000BE">
        <w:rPr>
          <w:rFonts w:cs="Arial"/>
          <w:b/>
        </w:rPr>
        <w:t>Construction Loading</w:t>
      </w:r>
      <w:r w:rsidRPr="00F000BE">
        <w:rPr>
          <w:rFonts w:cs="Arial"/>
        </w:rPr>
        <w:t xml:space="preserve"> </w:t>
      </w:r>
      <w:r w:rsidRPr="00F000BE">
        <w:rPr>
          <w:rFonts w:cs="Arial"/>
          <w:b/>
        </w:rPr>
        <w:t>of Structures:</w:t>
      </w:r>
      <w:r w:rsidRPr="00F000BE">
        <w:rPr>
          <w:rFonts w:cs="Arial"/>
        </w:rPr>
        <w:t xml:space="preserve">  In the course of planning and prosecuting the work for the asphalt maintenance schedules in the Contract, the Contractor shall consider the size and weight limitation of any existing structure(s) affecting the prosecuting the work in a schedule when contemplating construction loads, equipment access, haul and delivery routes of materials, and other related activities.  If the size or weight limitation of an existing structure changes after the receipt of bid date for the Contract and remains so up to and including the actual prosecution of work for a schedule in the Contract, preventing or limiting access across the structure, and the Contractor determines this limitation impacts his operations; he shall notify the Engineer of such change.  If the Engineer confirms such change has occurred, the change will be considered a change to the character of the work </w:t>
      </w:r>
      <w:r w:rsidR="008D06B6">
        <w:rPr>
          <w:rFonts w:cs="Arial"/>
        </w:rPr>
        <w:t>according to</w:t>
      </w:r>
      <w:r w:rsidRPr="00F000BE">
        <w:rPr>
          <w:rFonts w:cs="Arial"/>
        </w:rPr>
        <w:t xml:space="preserve"> the provisions of </w:t>
      </w:r>
      <w:hyperlink r:id="rId9" w:history="1">
        <w:r w:rsidRPr="00F26E5D">
          <w:rPr>
            <w:rStyle w:val="Hyperlink"/>
            <w:rFonts w:cs="Arial"/>
          </w:rPr>
          <w:t>Section 104.0</w:t>
        </w:r>
        <w:r w:rsidRPr="00F26E5D" w:rsidR="003C7A39">
          <w:rPr>
            <w:rStyle w:val="Hyperlink"/>
            <w:rFonts w:cs="Arial"/>
          </w:rPr>
          <w:t>2</w:t>
        </w:r>
        <w:r w:rsidRPr="00F26E5D">
          <w:rPr>
            <w:rStyle w:val="Hyperlink"/>
            <w:rFonts w:cs="Arial"/>
          </w:rPr>
          <w:t>(</w:t>
        </w:r>
        <w:r w:rsidRPr="00F26E5D" w:rsidR="003C7A39">
          <w:rPr>
            <w:rStyle w:val="Hyperlink"/>
            <w:rFonts w:cs="Arial"/>
          </w:rPr>
          <w:t>b</w:t>
        </w:r>
        <w:r w:rsidRPr="00F26E5D">
          <w:rPr>
            <w:rStyle w:val="Hyperlink"/>
            <w:rFonts w:cs="Arial"/>
          </w:rPr>
          <w:t>)</w:t>
        </w:r>
      </w:hyperlink>
      <w:r w:rsidRPr="00F000BE">
        <w:rPr>
          <w:rFonts w:cs="Arial"/>
        </w:rPr>
        <w:t xml:space="preserve"> of the Specifications and is eligible for adjustments </w:t>
      </w:r>
      <w:r w:rsidR="008D06B6">
        <w:rPr>
          <w:rFonts w:cs="Arial"/>
        </w:rPr>
        <w:t>according to</w:t>
      </w:r>
      <w:r w:rsidRPr="00F000BE">
        <w:rPr>
          <w:rFonts w:cs="Arial"/>
        </w:rPr>
        <w:t xml:space="preserve"> the provisions therein.</w:t>
      </w:r>
    </w:p>
    <w:p w:rsidR="00D61B8A" w:rsidRPr="00F000BE" w:rsidP="00D61B8A" w14:paraId="45ACB6A2" w14:textId="77777777">
      <w:pPr>
        <w:ind w:left="2520"/>
        <w:jc w:val="both"/>
        <w:rPr>
          <w:rFonts w:cs="Arial"/>
        </w:rPr>
      </w:pPr>
    </w:p>
    <w:p w:rsidR="00D61B8A" w:rsidRPr="00260DF1" w:rsidP="00D61B8A" w14:paraId="0DE74463" w14:textId="74D44DC3">
      <w:pPr>
        <w:ind w:left="2160"/>
        <w:jc w:val="both"/>
        <w:rPr>
          <w:rFonts w:cs="Arial"/>
        </w:rPr>
      </w:pPr>
      <w:r w:rsidRPr="00260DF1">
        <w:t>10</w:t>
      </w:r>
      <w:r w:rsidRPr="00260DF1" w:rsidR="00241927">
        <w:t>-</w:t>
      </w:r>
      <w:r w:rsidRPr="00260DF1">
        <w:t>30</w:t>
      </w:r>
      <w:r w:rsidRPr="00260DF1" w:rsidR="00241927">
        <w:t>-1</w:t>
      </w:r>
      <w:r w:rsidRPr="00260DF1">
        <w:t>7</w:t>
      </w:r>
      <w:r w:rsidRPr="00260DF1">
        <w:rPr>
          <w:rFonts w:cs="Arial"/>
        </w:rPr>
        <w:t xml:space="preserve"> (SPCN)</w:t>
      </w:r>
      <w:r w:rsidRPr="00260DF1" w:rsidR="001739C8">
        <w:rPr>
          <w:rStyle w:val="Hyperlink"/>
          <w:bCs/>
          <w:color w:val="auto"/>
          <w:u w:val="none"/>
        </w:rPr>
        <w:t xml:space="preserve"> [formerly </w:t>
      </w:r>
      <w:hyperlink r:id="rId10" w:tooltip="SECTION 107.21(d) CONSTRUCTION LOADING OF STRUCTURES (Schedule Work) 10-30-17 Guidelines-For projects with mobile operations such as asphalt schedule projects.{2007-c107gm0}" w:history="1">
        <w:r w:rsidRPr="00260DF1" w:rsidR="00260DF1">
          <w:rPr>
            <w:rStyle w:val="Hyperlink"/>
            <w:bCs/>
            <w:color w:val="auto"/>
            <w:u w:val="none"/>
          </w:rPr>
          <w:t>cn107-210100-01</w:t>
        </w:r>
      </w:hyperlink>
      <w:r w:rsidRPr="00260DF1" w:rsidR="001739C8">
        <w:rPr>
          <w:rStyle w:val="Hyperlink"/>
          <w:bCs/>
          <w:color w:val="auto"/>
          <w:u w:val="none"/>
        </w:rPr>
        <w:t>]</w:t>
      </w:r>
    </w:p>
    <w:p w:rsidR="00D61B8A" w:rsidRPr="00F000BE" w:rsidP="00D61B8A" w14:paraId="7C375424" w14:textId="77777777">
      <w:pPr>
        <w:ind w:left="2160"/>
        <w:jc w:val="both"/>
        <w:rPr>
          <w:rFonts w:cs="Arial"/>
        </w:rPr>
      </w:pPr>
    </w:p>
    <w:p w:rsidR="00D61B8A" w:rsidRPr="00F000BE" w:rsidP="00D61B8A" w14:paraId="71A3E289"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7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292B"/>
    <w:rsid w:val="00062167"/>
    <w:rsid w:val="000A67BF"/>
    <w:rsid w:val="000C412B"/>
    <w:rsid w:val="000E5B62"/>
    <w:rsid w:val="000F194F"/>
    <w:rsid w:val="00107AEC"/>
    <w:rsid w:val="00117EF8"/>
    <w:rsid w:val="00130682"/>
    <w:rsid w:val="00173959"/>
    <w:rsid w:val="001739C8"/>
    <w:rsid w:val="00195503"/>
    <w:rsid w:val="001A09AC"/>
    <w:rsid w:val="001A305C"/>
    <w:rsid w:val="001A75A8"/>
    <w:rsid w:val="001C4040"/>
    <w:rsid w:val="00200A57"/>
    <w:rsid w:val="002147D7"/>
    <w:rsid w:val="002149BE"/>
    <w:rsid w:val="0022049F"/>
    <w:rsid w:val="00240E78"/>
    <w:rsid w:val="00241927"/>
    <w:rsid w:val="0025109E"/>
    <w:rsid w:val="00260DF1"/>
    <w:rsid w:val="00293D6E"/>
    <w:rsid w:val="002D6861"/>
    <w:rsid w:val="002D7FF5"/>
    <w:rsid w:val="00304D52"/>
    <w:rsid w:val="00330195"/>
    <w:rsid w:val="00355DDC"/>
    <w:rsid w:val="003C0025"/>
    <w:rsid w:val="003C7A39"/>
    <w:rsid w:val="003D0DE2"/>
    <w:rsid w:val="00407155"/>
    <w:rsid w:val="00413782"/>
    <w:rsid w:val="00432F61"/>
    <w:rsid w:val="004425F3"/>
    <w:rsid w:val="00450017"/>
    <w:rsid w:val="00461FF3"/>
    <w:rsid w:val="00472E9D"/>
    <w:rsid w:val="00477527"/>
    <w:rsid w:val="0048491E"/>
    <w:rsid w:val="00485608"/>
    <w:rsid w:val="004B4B71"/>
    <w:rsid w:val="004B7FD4"/>
    <w:rsid w:val="004C068D"/>
    <w:rsid w:val="004C14A1"/>
    <w:rsid w:val="004C6027"/>
    <w:rsid w:val="004E3F3D"/>
    <w:rsid w:val="004F6C7B"/>
    <w:rsid w:val="005035F6"/>
    <w:rsid w:val="00510D35"/>
    <w:rsid w:val="00516FCB"/>
    <w:rsid w:val="00546DC5"/>
    <w:rsid w:val="00556F52"/>
    <w:rsid w:val="00574B46"/>
    <w:rsid w:val="00583A3E"/>
    <w:rsid w:val="00586DC9"/>
    <w:rsid w:val="005A5B11"/>
    <w:rsid w:val="005B2DE5"/>
    <w:rsid w:val="005C180C"/>
    <w:rsid w:val="005D4900"/>
    <w:rsid w:val="005F0785"/>
    <w:rsid w:val="00627601"/>
    <w:rsid w:val="00661A24"/>
    <w:rsid w:val="00676336"/>
    <w:rsid w:val="006825BF"/>
    <w:rsid w:val="006A07F3"/>
    <w:rsid w:val="006A2261"/>
    <w:rsid w:val="006A2AFF"/>
    <w:rsid w:val="006A3977"/>
    <w:rsid w:val="006B1BA8"/>
    <w:rsid w:val="006B3094"/>
    <w:rsid w:val="006C3E33"/>
    <w:rsid w:val="006C4C58"/>
    <w:rsid w:val="006E317E"/>
    <w:rsid w:val="006F17B7"/>
    <w:rsid w:val="0071701C"/>
    <w:rsid w:val="0072326D"/>
    <w:rsid w:val="00725454"/>
    <w:rsid w:val="007529DF"/>
    <w:rsid w:val="0078729B"/>
    <w:rsid w:val="007A334E"/>
    <w:rsid w:val="007C3D79"/>
    <w:rsid w:val="007D4C15"/>
    <w:rsid w:val="00812FBE"/>
    <w:rsid w:val="00813226"/>
    <w:rsid w:val="00833443"/>
    <w:rsid w:val="008477AE"/>
    <w:rsid w:val="00862AD9"/>
    <w:rsid w:val="00866C5C"/>
    <w:rsid w:val="00867F9E"/>
    <w:rsid w:val="00880B39"/>
    <w:rsid w:val="00886D6E"/>
    <w:rsid w:val="008906CE"/>
    <w:rsid w:val="008A523E"/>
    <w:rsid w:val="008C5243"/>
    <w:rsid w:val="008D06B6"/>
    <w:rsid w:val="008F7D6A"/>
    <w:rsid w:val="009010A5"/>
    <w:rsid w:val="00944D71"/>
    <w:rsid w:val="00944F39"/>
    <w:rsid w:val="009544D8"/>
    <w:rsid w:val="0096455F"/>
    <w:rsid w:val="00965CE6"/>
    <w:rsid w:val="00965EE9"/>
    <w:rsid w:val="009676B5"/>
    <w:rsid w:val="00970552"/>
    <w:rsid w:val="009779CA"/>
    <w:rsid w:val="00990735"/>
    <w:rsid w:val="009A5EE3"/>
    <w:rsid w:val="009D24D6"/>
    <w:rsid w:val="009F3964"/>
    <w:rsid w:val="00A00FF3"/>
    <w:rsid w:val="00A0105E"/>
    <w:rsid w:val="00A02BF6"/>
    <w:rsid w:val="00A06350"/>
    <w:rsid w:val="00A1617D"/>
    <w:rsid w:val="00A1719B"/>
    <w:rsid w:val="00A21ABA"/>
    <w:rsid w:val="00A26B69"/>
    <w:rsid w:val="00A51519"/>
    <w:rsid w:val="00A62AF8"/>
    <w:rsid w:val="00A65374"/>
    <w:rsid w:val="00A66530"/>
    <w:rsid w:val="00A75AD5"/>
    <w:rsid w:val="00AA49D0"/>
    <w:rsid w:val="00AA5C1E"/>
    <w:rsid w:val="00AB38F9"/>
    <w:rsid w:val="00B03E56"/>
    <w:rsid w:val="00B11F8B"/>
    <w:rsid w:val="00B1316F"/>
    <w:rsid w:val="00B26F38"/>
    <w:rsid w:val="00B27C1F"/>
    <w:rsid w:val="00B4160F"/>
    <w:rsid w:val="00B4741C"/>
    <w:rsid w:val="00B57198"/>
    <w:rsid w:val="00B807F9"/>
    <w:rsid w:val="00BB2A76"/>
    <w:rsid w:val="00BB3332"/>
    <w:rsid w:val="00BB4600"/>
    <w:rsid w:val="00BC0A28"/>
    <w:rsid w:val="00BC7D8C"/>
    <w:rsid w:val="00BE3329"/>
    <w:rsid w:val="00BF191A"/>
    <w:rsid w:val="00C011C3"/>
    <w:rsid w:val="00C02BF9"/>
    <w:rsid w:val="00C35CC0"/>
    <w:rsid w:val="00C46D4D"/>
    <w:rsid w:val="00C56BE2"/>
    <w:rsid w:val="00C6049C"/>
    <w:rsid w:val="00C640E3"/>
    <w:rsid w:val="00C927B8"/>
    <w:rsid w:val="00CA5396"/>
    <w:rsid w:val="00CB30FB"/>
    <w:rsid w:val="00CC1E68"/>
    <w:rsid w:val="00CE28D8"/>
    <w:rsid w:val="00CE6CDC"/>
    <w:rsid w:val="00CE6D2D"/>
    <w:rsid w:val="00D07472"/>
    <w:rsid w:val="00D17E07"/>
    <w:rsid w:val="00D61B8A"/>
    <w:rsid w:val="00D7425B"/>
    <w:rsid w:val="00D74A4C"/>
    <w:rsid w:val="00D7767E"/>
    <w:rsid w:val="00D82EF0"/>
    <w:rsid w:val="00D86633"/>
    <w:rsid w:val="00DA60C9"/>
    <w:rsid w:val="00DB2DFE"/>
    <w:rsid w:val="00DD28D0"/>
    <w:rsid w:val="00DD55AF"/>
    <w:rsid w:val="00E049D1"/>
    <w:rsid w:val="00E1261C"/>
    <w:rsid w:val="00E24662"/>
    <w:rsid w:val="00E34F5C"/>
    <w:rsid w:val="00E41387"/>
    <w:rsid w:val="00E52DEB"/>
    <w:rsid w:val="00E67DFC"/>
    <w:rsid w:val="00E75AF1"/>
    <w:rsid w:val="00E847FE"/>
    <w:rsid w:val="00E91EB6"/>
    <w:rsid w:val="00E971BB"/>
    <w:rsid w:val="00EB28CC"/>
    <w:rsid w:val="00EF4E5C"/>
    <w:rsid w:val="00F000BE"/>
    <w:rsid w:val="00F17E01"/>
    <w:rsid w:val="00F234D3"/>
    <w:rsid w:val="00F26E5D"/>
    <w:rsid w:val="00F422ED"/>
    <w:rsid w:val="00F67A7B"/>
    <w:rsid w:val="00F92FF8"/>
    <w:rsid w:val="00FA57F8"/>
    <w:rsid w:val="00FC617E"/>
    <w:rsid w:val="00FC76F5"/>
    <w:rsid w:val="00FE504B"/>
    <w:rsid w:val="00FE5CA7"/>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340F1AD2-1FC8-45C1-9242-C3737240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COVGOV.SHAREPOINT.COM/sites/TM-VDOT-SC-Specifications-External/2016_Standard_Specifications/cn107-210100-01.docx" TargetMode="Externa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107-002110-01.docx" TargetMode="External" /><Relationship Id="rId9" Type="http://schemas.openxmlformats.org/officeDocument/2006/relationships/hyperlink" Target="HTTPS://COVGOV.SHAREPOINT.COM/sites/TM-VDOT-SC-Specifications-External/2016_Standard_Specifications/BK104-002016-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cn107-002110-01</Specification_x0020_Number>
    <Status xmlns="2328571d-b9d5-471b-8d96-2ccb743ec3d4">Active</Status>
    <Usage_x0020_Guidelines xmlns="2328571d-b9d5-471b-8d96-2ccb743ec3d4">For projects with mobile operations such as asphalt schedule projects.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2017-10-30T04:00:00+00:00</Revision_x0020_Date>
    <ASW_x0020_Guidelines xmlns="2328571d-b9d5-471b-8d96-2ccb743ec3d4">All Districts.
All Schedules.</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390EBBDD-3C18-417C-A235-E6FB00BF2EAD}">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SECTION 107.21(d) CONSTRUCTION LOADING OF STRUCTURES (Schedule Work) 7-12-16</vt:lpstr>
    </vt:vector>
  </TitlesOfParts>
  <Company>VDOT</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107.21(d) CONSTRUCTION LOADING OF STRUCTURES (Schedule Work)</dc:title>
  <dc:creator>vdot</dc:creator>
  <cp:lastModifiedBy>Gayle, David W. (VDOT)</cp:lastModifiedBy>
  <cp:revision>137</cp:revision>
  <cp:lastPrinted>2017-10-30T18:19:00Z</cp:lastPrinted>
  <dcterms:created xsi:type="dcterms:W3CDTF">2015-10-15T17:45:00Z</dcterms:created>
  <dcterms:modified xsi:type="dcterms:W3CDTF">2018-12-18T03:29:00Z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https://outsidevdot.cov.virginia.gov/P0JQP/2016_Standard_Specifications/Forms/PLGG.aspx?View={059C9ADD-1EEB-4E46-8248-51123B71B3E6}&amp;FilterField1=ID&amp;FilterValue1=1752,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107</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cn107-210100-00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projects with mobile operations such as asphalt schedule projects.{2007-c107gm0}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