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C40521" w:rsidP="00C40521" w14:paraId="6C93E8CF" w14:textId="7EFBCB54">
      <w:pPr>
        <w:autoSpaceDE w:val="0"/>
        <w:autoSpaceDN w:val="0"/>
        <w:adjustRightInd w:val="0"/>
        <w:jc w:val="both"/>
        <w:rPr>
          <w:rFonts w:cs="Arial"/>
        </w:rPr>
      </w:pPr>
    </w:p>
    <w:p w:rsidR="00450EF9" w:rsidRPr="00DE2CFE" w:rsidP="00C40521" w14:paraId="1CB44922" w14:textId="77777777">
      <w:pPr>
        <w:autoSpaceDE w:val="0"/>
        <w:autoSpaceDN w:val="0"/>
        <w:adjustRightInd w:val="0"/>
        <w:jc w:val="both"/>
        <w:rPr>
          <w:rFonts w:cs="Arial"/>
        </w:rPr>
      </w:pPr>
    </w:p>
    <w:p w:rsidR="00C40521" w:rsidRPr="007E3D23" w:rsidP="00C40521" w14:paraId="0157423E" w14:textId="2D49ED77">
      <w:pPr>
        <w:jc w:val="both"/>
        <w:rPr>
          <w:rStyle w:val="Hyperlink"/>
          <w:b/>
          <w:bCs/>
          <w:vanish/>
          <w:color w:val="FF0000"/>
        </w:rPr>
      </w:pPr>
      <w:hyperlink w:history="1">
        <w:r w:rsidRPr="007E3D23" w:rsidR="007E3D23">
          <w:rPr>
            <w:rStyle w:val="Hyperlink"/>
            <w:rFonts w:cs="Arial"/>
            <w:b/>
            <w:bCs/>
            <w:vanish/>
            <w:color w:val="FF0000"/>
          </w:rPr>
          <w:t>cq315-000710-02</w:t>
        </w:r>
      </w:hyperlink>
      <w:r w:rsidRPr="007E3D23" w:rsidR="00450EF9">
        <w:rPr>
          <w:rStyle w:val="Hyperlink"/>
          <w:bCs/>
          <w:vanish/>
          <w:color w:val="FF0000"/>
          <w:u w:val="none"/>
        </w:rPr>
        <w:t xml:space="preserve"> [formerly </w:t>
      </w:r>
      <w:hyperlink w:history="1">
        <w:r w:rsidRPr="00804BB6" w:rsidR="00450EF9">
          <w:rPr>
            <w:rStyle w:val="Hyperlink"/>
            <w:bCs/>
            <w:vanish/>
            <w:color w:val="FF0000"/>
          </w:rPr>
          <w:t>cq315-070100-02</w:t>
        </w:r>
      </w:hyperlink>
      <w:bookmarkStart w:id="0" w:name="_GoBack"/>
      <w:bookmarkEnd w:id="0"/>
      <w:r w:rsidRPr="00804BB6" w:rsidR="00450EF9">
        <w:rPr>
          <w:rStyle w:val="Hyperlink"/>
          <w:bCs/>
          <w:vanish/>
          <w:color w:val="FF0000"/>
          <w:u w:val="none"/>
        </w:rPr>
        <w:t>]</w:t>
      </w:r>
    </w:p>
    <w:p w:rsidR="00C40521" w:rsidRPr="007E3D23" w:rsidP="00C40521" w14:paraId="0B94ED5D" w14:textId="77777777">
      <w:pPr>
        <w:jc w:val="both"/>
        <w:rPr>
          <w:vanish/>
          <w:color w:val="FF0000"/>
        </w:rPr>
      </w:pPr>
      <w:r w:rsidRPr="007E3D23">
        <w:rPr>
          <w:b/>
          <w:vanish/>
          <w:color w:val="FF0000"/>
        </w:rPr>
        <w:t xml:space="preserve">GUIDELINES – </w:t>
      </w:r>
      <w:r w:rsidRPr="007E3D23">
        <w:rPr>
          <w:vanish/>
          <w:color w:val="FF0000"/>
        </w:rPr>
        <w:t>Asphalt projects where “Thin Hot Mix Asphalt Concrete Overlay” is used and “Rideability” applies (plant mix only). {2007-</w:t>
      </w:r>
      <w:hyperlink w:history="1">
        <w:r w:rsidRPr="007E3D23">
          <w:rPr>
            <w:rStyle w:val="Hyperlink"/>
            <w:vanish/>
            <w:color w:val="FF0000"/>
          </w:rPr>
          <w:t>cu315000a</w:t>
        </w:r>
      </w:hyperlink>
      <w:r w:rsidRPr="007E3D23">
        <w:rPr>
          <w:vanish/>
          <w:color w:val="FF0000"/>
        </w:rPr>
        <w:t>}</w:t>
      </w:r>
    </w:p>
    <w:p w:rsidR="00C40521" w:rsidRPr="007E3D23" w:rsidP="00C40521" w14:paraId="6B62BC09" w14:textId="77777777">
      <w:pPr>
        <w:jc w:val="both"/>
        <w:rPr>
          <w:vanish/>
          <w:color w:val="FF0000"/>
        </w:rPr>
      </w:pPr>
    </w:p>
    <w:p w:rsidR="00C40521" w:rsidP="00C40521" w14:paraId="45D493E7" w14:textId="14F8D28D">
      <w:pPr>
        <w:autoSpaceDE w:val="0"/>
        <w:autoSpaceDN w:val="0"/>
        <w:adjustRightInd w:val="0"/>
        <w:jc w:val="both"/>
        <w:rPr>
          <w:rFonts w:cs="Arial"/>
        </w:rPr>
      </w:pPr>
      <w:r>
        <w:rPr>
          <w:b/>
        </w:rPr>
        <w:t xml:space="preserve">RIDEABILITY </w:t>
      </w:r>
      <w:r w:rsidRPr="00310C99">
        <w:rPr>
          <w:b/>
        </w:rPr>
        <w:t xml:space="preserve">FOR </w:t>
      </w:r>
      <w:r>
        <w:rPr>
          <w:b/>
        </w:rPr>
        <w:t>THIN HOT MIX ASPHALT CONCRETE OVERLAY</w:t>
      </w:r>
      <w:r w:rsidRPr="00400196">
        <w:rPr>
          <w:rFonts w:cs="Arial"/>
          <w:b/>
        </w:rPr>
        <w:t xml:space="preserve"> (THMACO)</w:t>
      </w:r>
      <w:r>
        <w:rPr>
          <w:rFonts w:cs="Arial"/>
          <w:b/>
        </w:rPr>
        <w:fldChar w:fldCharType="begin"/>
      </w:r>
      <w:r>
        <w:rPr>
          <w:rFonts w:cs="Arial"/>
        </w:rPr>
        <w:instrText xml:space="preserve"> TC "</w:instrText>
      </w:r>
      <w:bookmarkStart w:id="1" w:name="_Toc447870433"/>
      <w:bookmarkStart w:id="2" w:name="_Toc448490408"/>
      <w:bookmarkStart w:id="3" w:name="_Toc462142282"/>
      <w:r>
        <w:rPr>
          <w:b/>
        </w:rPr>
        <w:instrText xml:space="preserve">RIDEABILITY </w:instrText>
      </w:r>
      <w:r w:rsidRPr="00310C99">
        <w:rPr>
          <w:b/>
        </w:rPr>
        <w:instrText xml:space="preserve">FOR </w:instrText>
      </w:r>
      <w:r>
        <w:rPr>
          <w:b/>
        </w:rPr>
        <w:instrText>THIN HOT MIX ASPHALT CONC. OVERLAY</w:instrText>
      </w:r>
      <w:r w:rsidRPr="00400196">
        <w:rPr>
          <w:rFonts w:cs="Arial"/>
          <w:b/>
        </w:rPr>
        <w:instrText xml:space="preserve"> (THMACO)</w:instrText>
      </w:r>
      <w:r>
        <w:rPr>
          <w:rFonts w:cs="Arial"/>
        </w:rPr>
        <w:instrText xml:space="preserve">  </w:instrText>
      </w:r>
      <w:r>
        <w:instrText>9-20-1</w:instrText>
      </w:r>
      <w:r w:rsidR="001D40D5">
        <w:instrText>7</w:instrText>
      </w:r>
      <w:r>
        <w:rPr>
          <w:rFonts w:cs="Arial"/>
        </w:rPr>
        <w:instrText>_(SPCN)</w:instrText>
      </w:r>
      <w:bookmarkEnd w:id="1"/>
      <w:bookmarkEnd w:id="2"/>
      <w:bookmarkEnd w:id="3"/>
      <w:r>
        <w:rPr>
          <w:rFonts w:cs="Arial"/>
        </w:rPr>
        <w:instrText xml:space="preserve">" \f C \l "1" </w:instrText>
      </w:r>
      <w:r>
        <w:rPr>
          <w:rFonts w:cs="Arial"/>
          <w:b/>
        </w:rPr>
        <w:fldChar w:fldCharType="end"/>
      </w:r>
      <w:r>
        <w:rPr>
          <w:rFonts w:cs="Arial"/>
        </w:rPr>
        <w:t xml:space="preserve"> –— The Special Provision for </w:t>
      </w:r>
      <w:r>
        <w:rPr>
          <w:b/>
        </w:rPr>
        <w:t xml:space="preserve">RIDEABILITY </w:t>
      </w:r>
      <w:r w:rsidRPr="00310C99">
        <w:rPr>
          <w:b/>
        </w:rPr>
        <w:t>(For Asphalt Concrete Pavement)</w:t>
      </w:r>
      <w:r>
        <w:rPr>
          <w:rFonts w:cs="Arial"/>
        </w:rPr>
        <w:t xml:space="preserve"> is amended as follows:</w:t>
      </w:r>
    </w:p>
    <w:p w:rsidR="00C40521" w:rsidP="00C40521" w14:paraId="073AD2EC" w14:textId="77777777">
      <w:pPr>
        <w:autoSpaceDE w:val="0"/>
        <w:autoSpaceDN w:val="0"/>
        <w:adjustRightInd w:val="0"/>
        <w:ind w:left="360"/>
        <w:jc w:val="both"/>
        <w:rPr>
          <w:rFonts w:cs="Arial"/>
        </w:rPr>
      </w:pPr>
    </w:p>
    <w:p w:rsidR="00C40521" w:rsidP="00C40521" w14:paraId="76BA5E94" w14:textId="095D43D1">
      <w:pPr>
        <w:autoSpaceDE w:val="0"/>
        <w:autoSpaceDN w:val="0"/>
        <w:adjustRightInd w:val="0"/>
        <w:ind w:left="360"/>
        <w:jc w:val="both"/>
        <w:rPr>
          <w:rFonts w:cs="Arial"/>
        </w:rPr>
      </w:pPr>
      <w:r>
        <w:rPr>
          <w:rFonts w:cs="Arial"/>
        </w:rPr>
        <w:t>The exception to rideabi</w:t>
      </w:r>
      <w:r w:rsidR="00A743E3">
        <w:rPr>
          <w:rFonts w:cs="Arial"/>
        </w:rPr>
        <w:t>l</w:t>
      </w:r>
      <w:r>
        <w:rPr>
          <w:rFonts w:cs="Arial"/>
        </w:rPr>
        <w:t xml:space="preserve">ity testing for </w:t>
      </w:r>
      <w:r w:rsidRPr="00F000BE">
        <w:t>“scratch course</w:t>
      </w:r>
      <w:r>
        <w:t>s</w:t>
      </w:r>
      <w:r w:rsidRPr="00F000BE">
        <w:t>”</w:t>
      </w:r>
      <w:r>
        <w:t xml:space="preserve"> (THMACO)</w:t>
      </w:r>
      <w:r w:rsidRPr="00F000BE">
        <w:t xml:space="preserve"> </w:t>
      </w:r>
      <w:r>
        <w:rPr>
          <w:rFonts w:cs="Arial"/>
        </w:rPr>
        <w:t xml:space="preserve">specified in </w:t>
      </w:r>
      <w:r w:rsidRPr="00322E8B">
        <w:rPr>
          <w:rFonts w:cs="Arial"/>
          <w:b/>
        </w:rPr>
        <w:t>Section I</w:t>
      </w:r>
      <w:r w:rsidR="00BC6FC7">
        <w:rPr>
          <w:rFonts w:cs="Arial"/>
          <w:b/>
        </w:rPr>
        <w:t>I-1B</w:t>
      </w:r>
      <w:r w:rsidRPr="00322E8B">
        <w:rPr>
          <w:rFonts w:cs="Arial"/>
          <w:b/>
        </w:rPr>
        <w:t xml:space="preserve"> </w:t>
      </w:r>
      <w:r w:rsidRPr="00322E8B">
        <w:rPr>
          <w:b/>
        </w:rPr>
        <w:t>Single-Lift Construction</w:t>
      </w:r>
      <w:r>
        <w:t xml:space="preserve"> will not apply</w:t>
      </w:r>
      <w:r w:rsidRPr="00322E8B">
        <w:t xml:space="preserve"> </w:t>
      </w:r>
      <w:r>
        <w:t>to</w:t>
      </w:r>
      <w:r w:rsidRPr="00F000BE">
        <w:t xml:space="preserve"> pavements designated in the Contract</w:t>
      </w:r>
      <w:r>
        <w:t xml:space="preserve"> for</w:t>
      </w:r>
      <w:r>
        <w:rPr>
          <w:rFonts w:cs="Arial"/>
        </w:rPr>
        <w:t xml:space="preserve"> rideabi</w:t>
      </w:r>
      <w:r w:rsidR="00A743E3">
        <w:rPr>
          <w:rFonts w:cs="Arial"/>
        </w:rPr>
        <w:t>l</w:t>
      </w:r>
      <w:r>
        <w:rPr>
          <w:rFonts w:cs="Arial"/>
        </w:rPr>
        <w:t>ity testing</w:t>
      </w:r>
      <w:r>
        <w:t xml:space="preserve">. Rideabiity shall be performed as with an </w:t>
      </w:r>
      <w:r w:rsidRPr="00F000BE">
        <w:t>asphalt concrete (AC) layer</w:t>
      </w:r>
      <w:r>
        <w:t>.</w:t>
      </w:r>
    </w:p>
    <w:p w:rsidR="00C40521" w:rsidP="00C40521" w14:paraId="66CB5278" w14:textId="77777777">
      <w:pPr>
        <w:autoSpaceDE w:val="0"/>
        <w:autoSpaceDN w:val="0"/>
        <w:adjustRightInd w:val="0"/>
        <w:ind w:left="360"/>
        <w:jc w:val="both"/>
        <w:rPr>
          <w:rFonts w:cs="Arial"/>
        </w:rPr>
      </w:pPr>
    </w:p>
    <w:p w:rsidR="00C40521" w:rsidRPr="00EB63C4" w:rsidP="00C40521" w14:paraId="2127A56E" w14:textId="2EFCB9F8">
      <w:pPr>
        <w:autoSpaceDE w:val="0"/>
        <w:autoSpaceDN w:val="0"/>
        <w:adjustRightInd w:val="0"/>
        <w:jc w:val="both"/>
        <w:rPr>
          <w:rFonts w:cs="Arial"/>
        </w:rPr>
      </w:pPr>
      <w:r w:rsidRPr="00EB63C4">
        <w:t>9-20-1</w:t>
      </w:r>
      <w:r w:rsidRPr="00EB63C4" w:rsidR="00BC6FC7">
        <w:t>7</w:t>
      </w:r>
      <w:r w:rsidRPr="00EB63C4" w:rsidR="00BC6FC7">
        <w:rPr>
          <w:rFonts w:cs="Arial"/>
        </w:rPr>
        <w:t xml:space="preserve"> (</w:t>
      </w:r>
      <w:r w:rsidRPr="00EB63C4">
        <w:rPr>
          <w:rFonts w:cs="Arial"/>
        </w:rPr>
        <w:t>SPCN)</w:t>
      </w:r>
    </w:p>
    <w:p w:rsidR="00C40521" w:rsidP="00C40521" w14:paraId="3377C548" w14:textId="4B665B51"/>
    <w:p w:rsidR="00450EF9" w:rsidRPr="000A67BF" w:rsidP="00C40521" w14:paraId="30CA1495" w14:textId="77777777"/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9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1549B"/>
    <w:rsid w:val="00015B9C"/>
    <w:rsid w:val="0001784D"/>
    <w:rsid w:val="00026F26"/>
    <w:rsid w:val="00036A7E"/>
    <w:rsid w:val="00052725"/>
    <w:rsid w:val="00052D99"/>
    <w:rsid w:val="00062167"/>
    <w:rsid w:val="000823C5"/>
    <w:rsid w:val="000A4FAD"/>
    <w:rsid w:val="000A67BF"/>
    <w:rsid w:val="000C412B"/>
    <w:rsid w:val="000F089F"/>
    <w:rsid w:val="000F194F"/>
    <w:rsid w:val="000F2F95"/>
    <w:rsid w:val="000F45C5"/>
    <w:rsid w:val="00106854"/>
    <w:rsid w:val="00107AEC"/>
    <w:rsid w:val="00117EF8"/>
    <w:rsid w:val="00130682"/>
    <w:rsid w:val="001578C1"/>
    <w:rsid w:val="00167513"/>
    <w:rsid w:val="00173959"/>
    <w:rsid w:val="0018394E"/>
    <w:rsid w:val="00195503"/>
    <w:rsid w:val="001A09AC"/>
    <w:rsid w:val="001A305C"/>
    <w:rsid w:val="001C4040"/>
    <w:rsid w:val="001C5439"/>
    <w:rsid w:val="001D1B0D"/>
    <w:rsid w:val="001D40D5"/>
    <w:rsid w:val="001E3653"/>
    <w:rsid w:val="001F26BF"/>
    <w:rsid w:val="001F475A"/>
    <w:rsid w:val="001F5799"/>
    <w:rsid w:val="00200A57"/>
    <w:rsid w:val="002147D7"/>
    <w:rsid w:val="002149BE"/>
    <w:rsid w:val="00215F6D"/>
    <w:rsid w:val="0025109E"/>
    <w:rsid w:val="0027108E"/>
    <w:rsid w:val="00272420"/>
    <w:rsid w:val="00293D6E"/>
    <w:rsid w:val="00297B1D"/>
    <w:rsid w:val="002A1457"/>
    <w:rsid w:val="002B594E"/>
    <w:rsid w:val="002C0493"/>
    <w:rsid w:val="002D6861"/>
    <w:rsid w:val="002D7520"/>
    <w:rsid w:val="002D7FF5"/>
    <w:rsid w:val="0030494D"/>
    <w:rsid w:val="00304D52"/>
    <w:rsid w:val="00307320"/>
    <w:rsid w:val="00310C99"/>
    <w:rsid w:val="00322E8B"/>
    <w:rsid w:val="00330195"/>
    <w:rsid w:val="0035400B"/>
    <w:rsid w:val="0038222A"/>
    <w:rsid w:val="003909AB"/>
    <w:rsid w:val="00391AE5"/>
    <w:rsid w:val="003A0541"/>
    <w:rsid w:val="003D066E"/>
    <w:rsid w:val="003D0DE2"/>
    <w:rsid w:val="003E3315"/>
    <w:rsid w:val="00400196"/>
    <w:rsid w:val="00407155"/>
    <w:rsid w:val="00412E13"/>
    <w:rsid w:val="00413782"/>
    <w:rsid w:val="00432F61"/>
    <w:rsid w:val="00441BCA"/>
    <w:rsid w:val="004425F3"/>
    <w:rsid w:val="00450017"/>
    <w:rsid w:val="00450EF9"/>
    <w:rsid w:val="00461FF3"/>
    <w:rsid w:val="00472E9D"/>
    <w:rsid w:val="004757BF"/>
    <w:rsid w:val="00477527"/>
    <w:rsid w:val="00480077"/>
    <w:rsid w:val="0048491E"/>
    <w:rsid w:val="00497ADC"/>
    <w:rsid w:val="004A6354"/>
    <w:rsid w:val="004B4B71"/>
    <w:rsid w:val="004B6CB8"/>
    <w:rsid w:val="004B7FD4"/>
    <w:rsid w:val="004C068D"/>
    <w:rsid w:val="004C14A1"/>
    <w:rsid w:val="004E3AB8"/>
    <w:rsid w:val="004F6C7B"/>
    <w:rsid w:val="004F7792"/>
    <w:rsid w:val="00505144"/>
    <w:rsid w:val="00510D35"/>
    <w:rsid w:val="00510F70"/>
    <w:rsid w:val="00516FCB"/>
    <w:rsid w:val="00546DC5"/>
    <w:rsid w:val="00547139"/>
    <w:rsid w:val="00574B46"/>
    <w:rsid w:val="00583A3E"/>
    <w:rsid w:val="00586404"/>
    <w:rsid w:val="00586DC9"/>
    <w:rsid w:val="005904D3"/>
    <w:rsid w:val="005A5B11"/>
    <w:rsid w:val="005B1337"/>
    <w:rsid w:val="005B2DE5"/>
    <w:rsid w:val="005C180C"/>
    <w:rsid w:val="005D4900"/>
    <w:rsid w:val="005F0785"/>
    <w:rsid w:val="00611A7C"/>
    <w:rsid w:val="00622187"/>
    <w:rsid w:val="00627601"/>
    <w:rsid w:val="006623CB"/>
    <w:rsid w:val="00676336"/>
    <w:rsid w:val="006825BF"/>
    <w:rsid w:val="006A07F3"/>
    <w:rsid w:val="006A2261"/>
    <w:rsid w:val="006A2AFF"/>
    <w:rsid w:val="006A3977"/>
    <w:rsid w:val="006B1BA8"/>
    <w:rsid w:val="006B3094"/>
    <w:rsid w:val="006B4C24"/>
    <w:rsid w:val="006C3E33"/>
    <w:rsid w:val="006F17B7"/>
    <w:rsid w:val="0071701C"/>
    <w:rsid w:val="0072326D"/>
    <w:rsid w:val="00725454"/>
    <w:rsid w:val="00731CE8"/>
    <w:rsid w:val="00734D62"/>
    <w:rsid w:val="00742F1B"/>
    <w:rsid w:val="0074414C"/>
    <w:rsid w:val="0078729B"/>
    <w:rsid w:val="00796D54"/>
    <w:rsid w:val="0079773E"/>
    <w:rsid w:val="007A334E"/>
    <w:rsid w:val="007B36CA"/>
    <w:rsid w:val="007C3D79"/>
    <w:rsid w:val="007D1B58"/>
    <w:rsid w:val="007D4C15"/>
    <w:rsid w:val="007E3D23"/>
    <w:rsid w:val="007F0FD2"/>
    <w:rsid w:val="00804BB6"/>
    <w:rsid w:val="008239FA"/>
    <w:rsid w:val="00832E0A"/>
    <w:rsid w:val="00833443"/>
    <w:rsid w:val="00833ACC"/>
    <w:rsid w:val="00852695"/>
    <w:rsid w:val="00862AD9"/>
    <w:rsid w:val="00865A44"/>
    <w:rsid w:val="00866C5C"/>
    <w:rsid w:val="00867F9E"/>
    <w:rsid w:val="0087278D"/>
    <w:rsid w:val="00880B39"/>
    <w:rsid w:val="008A00ED"/>
    <w:rsid w:val="008A523E"/>
    <w:rsid w:val="008D17AF"/>
    <w:rsid w:val="008D3081"/>
    <w:rsid w:val="008E212E"/>
    <w:rsid w:val="009010A5"/>
    <w:rsid w:val="0090282B"/>
    <w:rsid w:val="009304AE"/>
    <w:rsid w:val="009308C8"/>
    <w:rsid w:val="00944D71"/>
    <w:rsid w:val="00944F39"/>
    <w:rsid w:val="009544D8"/>
    <w:rsid w:val="0096455F"/>
    <w:rsid w:val="00965CE6"/>
    <w:rsid w:val="009676B5"/>
    <w:rsid w:val="009779CA"/>
    <w:rsid w:val="00985B61"/>
    <w:rsid w:val="00993725"/>
    <w:rsid w:val="009A5EE3"/>
    <w:rsid w:val="009C096B"/>
    <w:rsid w:val="009C6DA2"/>
    <w:rsid w:val="009C782E"/>
    <w:rsid w:val="009D24D6"/>
    <w:rsid w:val="009D4938"/>
    <w:rsid w:val="009E6DE6"/>
    <w:rsid w:val="009F3964"/>
    <w:rsid w:val="009F51B1"/>
    <w:rsid w:val="00A00FF3"/>
    <w:rsid w:val="00A0105E"/>
    <w:rsid w:val="00A02BF6"/>
    <w:rsid w:val="00A06350"/>
    <w:rsid w:val="00A1617D"/>
    <w:rsid w:val="00A21ABA"/>
    <w:rsid w:val="00A36364"/>
    <w:rsid w:val="00A41D14"/>
    <w:rsid w:val="00A51519"/>
    <w:rsid w:val="00A61822"/>
    <w:rsid w:val="00A65374"/>
    <w:rsid w:val="00A66530"/>
    <w:rsid w:val="00A743E3"/>
    <w:rsid w:val="00A75E19"/>
    <w:rsid w:val="00A86396"/>
    <w:rsid w:val="00AA4932"/>
    <w:rsid w:val="00AA49D0"/>
    <w:rsid w:val="00AA5C1E"/>
    <w:rsid w:val="00AB38F9"/>
    <w:rsid w:val="00AC6038"/>
    <w:rsid w:val="00AC6994"/>
    <w:rsid w:val="00AE3CE1"/>
    <w:rsid w:val="00B03E56"/>
    <w:rsid w:val="00B11F8B"/>
    <w:rsid w:val="00B16E08"/>
    <w:rsid w:val="00B17C95"/>
    <w:rsid w:val="00B2429A"/>
    <w:rsid w:val="00B26F38"/>
    <w:rsid w:val="00B27C1F"/>
    <w:rsid w:val="00B333C2"/>
    <w:rsid w:val="00B36AE2"/>
    <w:rsid w:val="00B513E5"/>
    <w:rsid w:val="00B52744"/>
    <w:rsid w:val="00B72418"/>
    <w:rsid w:val="00BB2A76"/>
    <w:rsid w:val="00BB3332"/>
    <w:rsid w:val="00BB4600"/>
    <w:rsid w:val="00BC0A28"/>
    <w:rsid w:val="00BC6FC7"/>
    <w:rsid w:val="00BC7D8C"/>
    <w:rsid w:val="00BE3329"/>
    <w:rsid w:val="00BF6621"/>
    <w:rsid w:val="00C011C3"/>
    <w:rsid w:val="00C04527"/>
    <w:rsid w:val="00C34BE6"/>
    <w:rsid w:val="00C40521"/>
    <w:rsid w:val="00C46D4D"/>
    <w:rsid w:val="00C47AC2"/>
    <w:rsid w:val="00C56BE2"/>
    <w:rsid w:val="00C640E3"/>
    <w:rsid w:val="00C64D5E"/>
    <w:rsid w:val="00C85F30"/>
    <w:rsid w:val="00C927B8"/>
    <w:rsid w:val="00CA5396"/>
    <w:rsid w:val="00CC2C46"/>
    <w:rsid w:val="00CE28D8"/>
    <w:rsid w:val="00CF302E"/>
    <w:rsid w:val="00CF71E4"/>
    <w:rsid w:val="00D07472"/>
    <w:rsid w:val="00D17E07"/>
    <w:rsid w:val="00D32E49"/>
    <w:rsid w:val="00D37E29"/>
    <w:rsid w:val="00D56D33"/>
    <w:rsid w:val="00D7425B"/>
    <w:rsid w:val="00D74A4C"/>
    <w:rsid w:val="00D82EF0"/>
    <w:rsid w:val="00D86633"/>
    <w:rsid w:val="00DA60C9"/>
    <w:rsid w:val="00DC0E68"/>
    <w:rsid w:val="00DD28D0"/>
    <w:rsid w:val="00DD55AF"/>
    <w:rsid w:val="00DE2CFE"/>
    <w:rsid w:val="00E049D1"/>
    <w:rsid w:val="00E1261C"/>
    <w:rsid w:val="00E26B85"/>
    <w:rsid w:val="00E26E05"/>
    <w:rsid w:val="00E34EC8"/>
    <w:rsid w:val="00E34F5C"/>
    <w:rsid w:val="00E35C6B"/>
    <w:rsid w:val="00E51308"/>
    <w:rsid w:val="00E52DEB"/>
    <w:rsid w:val="00E67DFC"/>
    <w:rsid w:val="00E75AF1"/>
    <w:rsid w:val="00E91EB6"/>
    <w:rsid w:val="00EB28CC"/>
    <w:rsid w:val="00EB63C4"/>
    <w:rsid w:val="00EC0532"/>
    <w:rsid w:val="00EE5DE0"/>
    <w:rsid w:val="00EF3457"/>
    <w:rsid w:val="00EF4E5C"/>
    <w:rsid w:val="00F000BE"/>
    <w:rsid w:val="00F234D3"/>
    <w:rsid w:val="00F37327"/>
    <w:rsid w:val="00F57C89"/>
    <w:rsid w:val="00F67A7B"/>
    <w:rsid w:val="00F84C33"/>
    <w:rsid w:val="00F906D8"/>
    <w:rsid w:val="00F92FF8"/>
    <w:rsid w:val="00FA57F8"/>
    <w:rsid w:val="00FC617E"/>
    <w:rsid w:val="00FC76F5"/>
    <w:rsid w:val="00FE504B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  <w15:docId w15:val="{A35FB28B-B56E-430B-9F29-71846FAA3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>5555-05-05T04:00:00+00:00</Expiration_x0020_Date0>
    <Availability_x0020_Date xmlns="2328571d-b9d5-471b-8d96-2ccb743ec3d4">2019-02-01T05:00:00+00:00</Availability_x0020_Date>
    <Document_x0020_Type xmlns="2328571d-b9d5-471b-8d96-2ccb743ec3d4">SPCN</Document_x0020_Type>
    <Specification_x0020_Number xmlns="2328571d-b9d5-471b-8d96-2ccb743ec3d4">cq315-000710-02</Specification_x0020_Number>
    <Status xmlns="2328571d-b9d5-471b-8d96-2ccb743ec3d4">Active</Status>
    <Usage_x0020_Guidelines xmlns="2328571d-b9d5-471b-8d96-2ccb743ec3d4">Asphalt projects where Thin Hot Mix Asphalt Concrete Overlay is used and Rideability applies (plant mix only).</Usage_x0020_Guidelines>
    <DB_x0020_Pick_x0020_List xmlns="2328571d-b9d5-471b-8d96-2ccb743ec3d4">false</DB_x0020_Pick_x0020_List>
    <ASW_x0020_Pick_x0020_List xmlns="2328571d-b9d5-471b-8d96-2ccb743ec3d4">true</ASW_x0020_Pick_x0020_List>
    <DBB_x0020_Pick_x0020_List xmlns="2328571d-b9d5-471b-8d96-2ccb743ec3d4">true</DBB_x0020_Pick_x0020_List>
    <Division xmlns="2328571d-b9d5-471b-8d96-2ccb743ec3d4">III</Division>
    <Section xmlns="2328571d-b9d5-471b-8d96-2ccb743ec3d4">315</Section>
    <LAP_x0020_Pick_x0020_List xmlns="2328571d-b9d5-471b-8d96-2ccb743ec3d4">false</LAP_x0020_Pick_x0020_List>
    <Revision_x0020_Date xmlns="2328571d-b9d5-471b-8d96-2ccb743ec3d4">2017-09-20T04:00:00+00:00</Revision_x0020_Date>
    <ASW_x0020_Guidelines xmlns="2328571d-b9d5-471b-8d96-2ccb743ec3d4">All Districts.
Plant mix schedules with rideability and THMACO only.</ASW_x0020_Guidelines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5EEE40-F0C2-4A56-AC02-BF37565AE86B}">
  <ds:schemaRefs/>
</ds:datastoreItem>
</file>

<file path=customXml/itemProps2.xml><?xml version="1.0" encoding="utf-8"?>
<ds:datastoreItem xmlns:ds="http://schemas.openxmlformats.org/officeDocument/2006/customXml" ds:itemID="{DF255426-AB94-418F-AB8A-3A69C8282CE7}">
  <ds:schemaRefs/>
</ds:datastoreItem>
</file>

<file path=customXml/itemProps3.xml><?xml version="1.0" encoding="utf-8"?>
<ds:datastoreItem xmlns:ds="http://schemas.openxmlformats.org/officeDocument/2006/customXml" ds:itemID="{8F032CB8-D1FB-45C1-B8EE-4EF3066A21DC}">
  <ds:schemaRefs/>
</ds:datastoreItem>
</file>

<file path=customXml/itemProps4.xml><?xml version="1.0" encoding="utf-8"?>
<ds:datastoreItem xmlns:ds="http://schemas.openxmlformats.org/officeDocument/2006/customXml" ds:itemID="{11668255-3722-4D81-835D-688956747C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315—ASPHALT CONCRETE PAVEMENT (Rideability when THMACO Used) 7-12-16</vt:lpstr>
    </vt:vector>
  </TitlesOfParts>
  <Company>VDOT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RIDEABILITY FOR THIN HOT MIX ASPHALT CONCRETE OVERLAY (THMACO)</dc:title>
  <dc:creator>vdot</dc:creator>
  <cp:lastModifiedBy>Gayle, David W. (VDOT)</cp:lastModifiedBy>
  <cp:revision>221</cp:revision>
  <dcterms:created xsi:type="dcterms:W3CDTF">2015-10-15T17:45:00Z</dcterms:created>
  <dcterms:modified xsi:type="dcterms:W3CDTF">2018-12-19T16:09:00Z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vailability Date">
    <vt:filetime>2016-04-01T04:00:00Z</vt:filetime>
  </property>
  <property fmtid="{D5CDD505-2E9C-101B-9397-08002B2CF9AE}" pid="5" name="Book Year">
    <vt:lpwstr>2007</vt:lpwstr>
  </property>
  <property fmtid="{D5CDD505-2E9C-101B-9397-08002B2CF9AE}" pid="6" name="CNSP Database">
    <vt:lpwstr>, </vt:lpwstr>
  </property>
  <property fmtid="{D5CDD505-2E9C-101B-9397-08002B2CF9AE}" pid="7" name="Contains Fields">
    <vt:lpwstr>No</vt:lpwstr>
  </property>
  <property fmtid="{D5CDD505-2E9C-101B-9397-08002B2CF9AE}" pid="8" name="ContentTypeId">
    <vt:lpwstr>0x010100771DA6D9234A1F4BB626256BCE9A5673</vt:lpwstr>
  </property>
  <property fmtid="{D5CDD505-2E9C-101B-9397-08002B2CF9AE}" pid="9" name="Crosswalk">
    <vt:lpwstr>, </vt:lpwstr>
  </property>
  <property fmtid="{D5CDD505-2E9C-101B-9397-08002B2CF9AE}" pid="10" name="display_urn:schemas-microsoft-com:office:office#Author">
    <vt:lpwstr>Gayle, David W. (VDOT)</vt:lpwstr>
  </property>
  <property fmtid="{D5CDD505-2E9C-101B-9397-08002B2CF9AE}" pid="11" name="display_urn:schemas-microsoft-com:office:office#Editor">
    <vt:lpwstr>Gayle, David W. (VDOT)</vt:lpwstr>
  </property>
  <property fmtid="{D5CDD505-2E9C-101B-9397-08002B2CF9AE}" pid="12" name="Div">
    <vt:lpwstr>III</vt:lpwstr>
  </property>
  <property fmtid="{D5CDD505-2E9C-101B-9397-08002B2CF9AE}" pid="13" name="Division0">
    <vt:lpwstr>I</vt:lpwstr>
  </property>
  <property fmtid="{D5CDD505-2E9C-101B-9397-08002B2CF9AE}" pid="14" name="Doc Group">
    <vt:lpwstr>Revisions</vt:lpwstr>
  </property>
  <property fmtid="{D5CDD505-2E9C-101B-9397-08002B2CF9AE}" pid="15" name="Doc Subgroup">
    <vt:lpwstr>Std</vt:lpwstr>
  </property>
  <property fmtid="{D5CDD505-2E9C-101B-9397-08002B2CF9AE}" pid="16" name="Doc/Aux">
    <vt:lpwstr>Doc</vt:lpwstr>
  </property>
  <property fmtid="{D5CDD505-2E9C-101B-9397-08002B2CF9AE}" pid="17" name="Document">
    <vt:lpwstr>Revision</vt:lpwstr>
  </property>
  <property fmtid="{D5CDD505-2E9C-101B-9397-08002B2CF9AE}" pid="18" name="Document Type">
    <vt:lpwstr>SPCN</vt:lpwstr>
  </property>
  <property fmtid="{D5CDD505-2E9C-101B-9397-08002B2CF9AE}" pid="19" name="Effective Adv Date">
    <vt:filetime>2016-10-04T04:00:00Z</vt:filetime>
  </property>
  <property fmtid="{D5CDD505-2E9C-101B-9397-08002B2CF9AE}" pid="20" name="Effective Date">
    <vt:lpwstr>2009-06-01T00:00:00Z</vt:lpwstr>
  </property>
  <property fmtid="{D5CDD505-2E9C-101B-9397-08002B2CF9AE}" pid="21" name="GGuide">
    <vt:lpwstr>https://outsidevdot.cov.virginia.gov/P0JQP/2016_Standard_Specifications/Forms/PLGG.aspx?View={059C9ADD-1EEB-4E46-8248-51123B71B3E6}&amp;FilterField1=ID&amp;FilterValue1=1660, G</vt:lpwstr>
  </property>
  <property fmtid="{D5CDD505-2E9C-101B-9397-08002B2CF9AE}" pid="22" name="In 2007 Book?">
    <vt:lpwstr>Yes</vt:lpwstr>
  </property>
  <property fmtid="{D5CDD505-2E9C-101B-9397-08002B2CF9AE}" pid="23" name="In 2014 ASW?">
    <vt:lpwstr>No</vt:lpwstr>
  </property>
  <property fmtid="{D5CDD505-2E9C-101B-9397-08002B2CF9AE}" pid="24" name="In 2015 ASW?">
    <vt:lpwstr>No</vt:lpwstr>
  </property>
  <property fmtid="{D5CDD505-2E9C-101B-9397-08002B2CF9AE}" pid="25" name="In 2015 Book?">
    <vt:lpwstr>No</vt:lpwstr>
  </property>
  <property fmtid="{D5CDD505-2E9C-101B-9397-08002B2CF9AE}" pid="26" name="In Asphalt SW">
    <vt:lpwstr>No</vt:lpwstr>
  </property>
  <property fmtid="{D5CDD505-2E9C-101B-9397-08002B2CF9AE}" pid="27" name="In Checklist(F)?">
    <vt:lpwstr>No</vt:lpwstr>
  </property>
  <property fmtid="{D5CDD505-2E9C-101B-9397-08002B2CF9AE}" pid="28" name="In Checklist(S)?">
    <vt:lpwstr>No</vt:lpwstr>
  </property>
  <property fmtid="{D5CDD505-2E9C-101B-9397-08002B2CF9AE}" pid="29" name="In Checklist?">
    <vt:lpwstr>N/A</vt:lpwstr>
  </property>
  <property fmtid="{D5CDD505-2E9C-101B-9397-08002B2CF9AE}" pid="30" name="In CNSP?">
    <vt:lpwstr>Yes</vt:lpwstr>
  </property>
  <property fmtid="{D5CDD505-2E9C-101B-9397-08002B2CF9AE}" pid="31" name="In Library?">
    <vt:lpwstr>Yes</vt:lpwstr>
  </property>
  <property fmtid="{D5CDD505-2E9C-101B-9397-08002B2CF9AE}" pid="32" name="In PM?">
    <vt:lpwstr>N/A</vt:lpwstr>
  </property>
  <property fmtid="{D5CDD505-2E9C-101B-9397-08002B2CF9AE}" pid="33" name="In SL?">
    <vt:lpwstr>N/A</vt:lpwstr>
  </property>
  <property fmtid="{D5CDD505-2E9C-101B-9397-08002B2CF9AE}" pid="34" name="In ST?">
    <vt:lpwstr>N/A</vt:lpwstr>
  </property>
  <property fmtid="{D5CDD505-2E9C-101B-9397-08002B2CF9AE}" pid="35" name="List">
    <vt:lpwstr>SPEC102_D</vt:lpwstr>
  </property>
  <property fmtid="{D5CDD505-2E9C-101B-9397-08002B2CF9AE}" pid="36" name="Local Assist(F)">
    <vt:lpwstr>N/A</vt:lpwstr>
  </property>
  <property fmtid="{D5CDD505-2E9C-101B-9397-08002B2CF9AE}" pid="37" name="Migration Disposition">
    <vt:lpwstr>Migrate</vt:lpwstr>
  </property>
  <property fmtid="{D5CDD505-2E9C-101B-9397-08002B2CF9AE}" pid="38" name="On Check-List">
    <vt:bool>false</vt:bool>
  </property>
  <property fmtid="{D5CDD505-2E9C-101B-9397-08002B2CF9AE}" pid="39" name="Order">
    <vt:r8>15300</vt:r8>
  </property>
  <property fmtid="{D5CDD505-2E9C-101B-9397-08002B2CF9AE}" pid="40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41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42" name="Pick List">
    <vt:bool>true</vt:bool>
  </property>
  <property fmtid="{D5CDD505-2E9C-101B-9397-08002B2CF9AE}" pid="43" name="Sect">
    <vt:lpwstr>315</vt:lpwstr>
  </property>
  <property fmtid="{D5CDD505-2E9C-101B-9397-08002B2CF9AE}" pid="44" name="Section No.">
    <vt:lpwstr>102</vt:lpwstr>
  </property>
  <property fmtid="{D5CDD505-2E9C-101B-9397-08002B2CF9AE}" pid="45" name="Source">
    <vt:lpwstr>ALL</vt:lpwstr>
  </property>
  <property fmtid="{D5CDD505-2E9C-101B-9397-08002B2CF9AE}" pid="46" name="SPCN/SP/SS">
    <vt:lpwstr>SPCN</vt:lpwstr>
  </property>
  <property fmtid="{D5CDD505-2E9C-101B-9397-08002B2CF9AE}" pid="47" name="Spec Groups">
    <vt:lpwstr>, </vt:lpwstr>
  </property>
  <property fmtid="{D5CDD505-2E9C-101B-9397-08002B2CF9AE}" pid="48" name="Spec No. (Pick List)">
    <vt:lpwstr>, </vt:lpwstr>
  </property>
  <property fmtid="{D5CDD505-2E9C-101B-9397-08002B2CF9AE}" pid="49" name="Spec/Supp">
    <vt:lpwstr>Spec</vt:lpwstr>
  </property>
  <property fmtid="{D5CDD505-2E9C-101B-9397-08002B2CF9AE}" pid="50" name="Specification Category">
    <vt:lpwstr>2</vt:lpwstr>
  </property>
  <property fmtid="{D5CDD505-2E9C-101B-9397-08002B2CF9AE}" pid="51" name="Specification Number">
    <vt:lpwstr>cq315-070100-00</vt:lpwstr>
  </property>
  <property fmtid="{D5CDD505-2E9C-101B-9397-08002B2CF9AE}" pid="52" name="Status">
    <vt:lpwstr>Active</vt:lpwstr>
  </property>
  <property fmtid="{D5CDD505-2E9C-101B-9397-08002B2CF9AE}" pid="53" name="Subgroup 2">
    <vt:lpwstr>No</vt:lpwstr>
  </property>
  <property fmtid="{D5CDD505-2E9C-101B-9397-08002B2CF9AE}" pid="54" name="Usage Guidance">
    <vt:lpwstr>Asphalt projects where “Thin Hot Mix Asphalt Concrete Overlay” is used and “Rideability” applies (plant mix only).{2007-cu315000a}</vt:lpwstr>
  </property>
  <property fmtid="{D5CDD505-2E9C-101B-9397-08002B2CF9AE}" pid="55" name="V2ASW">
    <vt:lpwstr>N/A</vt:lpwstr>
  </property>
  <property fmtid="{D5CDD505-2E9C-101B-9397-08002B2CF9AE}" pid="56" name="Vol 2 Use?">
    <vt:lpwstr>No</vt:lpwstr>
  </property>
  <property fmtid="{D5CDD505-2E9C-101B-9397-08002B2CF9AE}" pid="57" name="Volume">
    <vt:lpwstr>N/A</vt:lpwstr>
  </property>
  <property fmtid="{D5CDD505-2E9C-101B-9397-08002B2CF9AE}" pid="58" name="Volume 2015">
    <vt:lpwstr>N/A</vt:lpwstr>
  </property>
  <property fmtid="{D5CDD505-2E9C-101B-9397-08002B2CF9AE}" pid="59" name="Web Page No.">
    <vt:lpwstr>, </vt:lpwstr>
  </property>
  <property fmtid="{D5CDD505-2E9C-101B-9397-08002B2CF9AE}" pid="60" name="WORD Direct">
    <vt:lpwstr>, </vt:lpwstr>
  </property>
  <property fmtid="{D5CDD505-2E9C-101B-9397-08002B2CF9AE}" pid="61" name="X-Guidelines">
    <vt:lpwstr>, </vt:lpwstr>
  </property>
  <property fmtid="{D5CDD505-2E9C-101B-9397-08002B2CF9AE}" pid="62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