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6"/>
          <w:szCs w:val="26"/>
          <w:rtl w:val="0"/>
        </w:rPr>
        <w:t xml:space="preserve">I-64 OpportUNITY Connector Funding Commitments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Funding 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Documentation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2022 Action by Virginia General Assembly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State Budget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$320,000,000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6">
              <w:r w:rsidDel="00000000" w:rsidR="00000000" w:rsidRPr="00000000">
                <w:rPr>
                  <w:color w:val="1155cc"/>
                  <w:u w:val="single"/>
                  <w:rtl w:val="0"/>
                </w:rPr>
                <w:t xml:space="preserve">Chapter 1, Item 447.10, B. 10</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1155cc"/>
                <w:u w:val="single"/>
              </w:rPr>
            </w:pPr>
            <w:hyperlink r:id="rId7">
              <w:r w:rsidDel="00000000" w:rsidR="00000000" w:rsidRPr="00000000">
                <w:rPr>
                  <w:color w:val="1155cc"/>
                  <w:u w:val="single"/>
                  <w:rtl w:val="0"/>
                </w:rPr>
                <w:t xml:space="preserve">Chapter 2, Item 452, 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2022 Action by Virginia General Assembly</w:t>
            </w:r>
          </w:p>
          <w:p w:rsidR="00000000" w:rsidDel="00000000" w:rsidP="00000000" w:rsidRDefault="00000000" w:rsidRPr="00000000" w14:paraId="0000000D">
            <w:pPr>
              <w:widowControl w:val="0"/>
              <w:spacing w:line="240" w:lineRule="auto"/>
              <w:jc w:val="center"/>
              <w:rPr/>
            </w:pPr>
            <w:r w:rsidDel="00000000" w:rsidR="00000000" w:rsidRPr="00000000">
              <w:rPr>
                <w:rtl w:val="0"/>
              </w:rPr>
              <w:t xml:space="preserve">Revenue Surplus</w:t>
            </w:r>
          </w:p>
          <w:p w:rsidR="00000000" w:rsidDel="00000000" w:rsidP="00000000" w:rsidRDefault="00000000" w:rsidRPr="00000000" w14:paraId="0000000E">
            <w:pPr>
              <w:widowControl w:val="0"/>
              <w:spacing w:line="240" w:lineRule="auto"/>
              <w:jc w:val="center"/>
              <w:rPr/>
            </w:pPr>
            <w:r w:rsidDel="00000000" w:rsidR="00000000" w:rsidRPr="00000000">
              <w:rPr>
                <w:rtl w:val="0"/>
              </w:rPr>
              <w:t xml:space="preserve">(anticipated)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pPr>
            <w:r w:rsidDel="00000000" w:rsidR="00000000" w:rsidRPr="00000000">
              <w:rPr>
                <w:rtl w:val="0"/>
              </w:rPr>
              <w:t xml:space="preserve">$150,000,000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center"/>
              <w:rPr/>
            </w:pPr>
            <w:r w:rsidDel="00000000" w:rsidR="00000000" w:rsidRPr="00000000">
              <w:rPr>
                <w:rtl w:val="0"/>
              </w:rPr>
            </w:r>
          </w:p>
          <w:p w:rsidR="00000000" w:rsidDel="00000000" w:rsidP="00000000" w:rsidRDefault="00000000" w:rsidRPr="00000000" w14:paraId="00000011">
            <w:pPr>
              <w:widowControl w:val="0"/>
              <w:spacing w:line="240" w:lineRule="auto"/>
              <w:jc w:val="center"/>
              <w:rPr/>
            </w:pPr>
            <w:hyperlink r:id="rId8">
              <w:r w:rsidDel="00000000" w:rsidR="00000000" w:rsidRPr="00000000">
                <w:rPr>
                  <w:color w:val="1155cc"/>
                  <w:u w:val="single"/>
                  <w:rtl w:val="0"/>
                </w:rPr>
                <w:t xml:space="preserve">Chapter 2, Item 485, L.</w:t>
              </w:r>
            </w:hyperlink>
            <w:r w:rsidDel="00000000" w:rsidR="00000000" w:rsidRPr="00000000">
              <w:rPr>
                <w:rtl w:val="0"/>
              </w:rPr>
            </w:r>
          </w:p>
          <w:p w:rsidR="00000000" w:rsidDel="00000000" w:rsidP="00000000" w:rsidRDefault="00000000" w:rsidRPr="00000000" w14:paraId="00000012">
            <w:pPr>
              <w:widowControl w:val="0"/>
              <w:spacing w:line="240" w:lineRule="auto"/>
              <w:jc w:val="center"/>
              <w:rPr/>
            </w:pPr>
            <w:r w:rsidDel="00000000" w:rsidR="00000000" w:rsidRPr="00000000">
              <w:rPr>
                <w:rtl w:val="0"/>
              </w:rPr>
            </w:r>
          </w:p>
          <w:p w:rsidR="00000000" w:rsidDel="00000000" w:rsidP="00000000" w:rsidRDefault="00000000" w:rsidRPr="00000000" w14:paraId="00000013">
            <w:pPr>
              <w:widowControl w:val="0"/>
              <w:spacing w:line="240" w:lineRule="auto"/>
              <w:jc w:val="center"/>
              <w:rPr/>
            </w:pPr>
            <w:hyperlink r:id="rId9">
              <w:r w:rsidDel="00000000" w:rsidR="00000000" w:rsidRPr="00000000">
                <w:rPr>
                  <w:color w:val="1155cc"/>
                  <w:u w:val="single"/>
                  <w:rtl w:val="0"/>
                </w:rPr>
                <w:t xml:space="preserve">https://richmond.com/news/state-and-regional/govt-and-politics/state-revenues-up-3-9-billion-through-may-covering-all-bets-in-budget/article_0eb440e1-ecc0-5289-b387-c47c7fbcf4d7.html</w:t>
              </w:r>
            </w:hyperlink>
            <w:r w:rsidDel="00000000" w:rsidR="00000000" w:rsidRPr="00000000">
              <w:rPr>
                <w:rtl w:val="0"/>
              </w:rPr>
            </w:r>
          </w:p>
          <w:p w:rsidR="00000000" w:rsidDel="00000000" w:rsidP="00000000" w:rsidRDefault="00000000" w:rsidRPr="00000000" w14:paraId="00000014">
            <w:pPr>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pPr>
            <w:r w:rsidDel="00000000" w:rsidR="00000000" w:rsidRPr="00000000">
              <w:rPr>
                <w:rtl w:val="0"/>
              </w:rPr>
              <w:t xml:space="preserve">Central Virginia Transportation Authority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pPr>
            <w:r w:rsidDel="00000000" w:rsidR="00000000" w:rsidRPr="00000000">
              <w:rPr>
                <w:rtl w:val="0"/>
              </w:rPr>
            </w:r>
          </w:p>
          <w:p w:rsidR="00000000" w:rsidDel="00000000" w:rsidP="00000000" w:rsidRDefault="00000000" w:rsidRPr="00000000" w14:paraId="00000017">
            <w:pPr>
              <w:widowControl w:val="0"/>
              <w:spacing w:line="240" w:lineRule="auto"/>
              <w:jc w:val="center"/>
              <w:rPr/>
            </w:pPr>
            <w:r w:rsidDel="00000000" w:rsidR="00000000" w:rsidRPr="00000000">
              <w:rPr>
                <w:rtl w:val="0"/>
              </w:rPr>
              <w:t xml:space="preserve">$100,000,000</w:t>
            </w:r>
          </w:p>
          <w:p w:rsidR="00000000" w:rsidDel="00000000" w:rsidP="00000000" w:rsidRDefault="00000000" w:rsidRPr="00000000" w14:paraId="00000018">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pPr>
            <w:hyperlink r:id="rId10">
              <w:r w:rsidDel="00000000" w:rsidR="00000000" w:rsidRPr="00000000">
                <w:rPr>
                  <w:color w:val="1155cc"/>
                  <w:u w:val="single"/>
                  <w:rtl w:val="0"/>
                </w:rPr>
                <w:t xml:space="preserve">https://planrva.org/wp-content/uploads/Priority-Support-Letter-signed-CTB-06172022.pdf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Commonwealth Transportation 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 be applied toward project upon grant award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MPDG (requested)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$150,000,000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$750,000,000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Since the application deadline of May 23, 2022, the Commonwealth of Virginia and the Central Virginia Transportation Authority have made significant financial commitments to this critical project to help bring it closer to reality.  The Virginia General Assembly dedicated $210 million in the FY 2020-2022 Budget and $110 million in the FY 2022-2024 Budget to this project.  In addition, the General Assembly has further authorized any general funds in excess of fiscal year 2022 revenue estimates- up to $150 million- to be applied to the I-64 OpportUNITY Connector.  The Central Virginia Transportation Authority has also provided a commitment of $100 million toward the project.  These landmark funding commitments highlight the overwhelming state and regional support for this project and provide a once in a lifetime opportunity for USDOT to bring this project of national, state and regional significance to fruition through the award of an MPDG grant. </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lanrva.org/wp-content/uploads/Priority-Support-Letter-signed-CTB-06172022.pdf" TargetMode="External"/><Relationship Id="rId9" Type="http://schemas.openxmlformats.org/officeDocument/2006/relationships/hyperlink" Target="https://richmond.com/news/state-and-regional/govt-and-politics/state-revenues-up-3-9-billion-through-may-covering-all-bets-in-budget/article_0eb440e1-ecc0-5289-b387-c47c7fbcf4d7.html" TargetMode="External"/><Relationship Id="rId5" Type="http://schemas.openxmlformats.org/officeDocument/2006/relationships/styles" Target="styles.xml"/><Relationship Id="rId6" Type="http://schemas.openxmlformats.org/officeDocument/2006/relationships/hyperlink" Target="https://budget.lis.virginia.gov/item/2022/2/HB29/Chapter/1/447.10/" TargetMode="External"/><Relationship Id="rId7" Type="http://schemas.openxmlformats.org/officeDocument/2006/relationships/hyperlink" Target="https://budget.lis.virginia.gov/item/2022/2/HB30/Chapter/1/452/" TargetMode="External"/><Relationship Id="rId8" Type="http://schemas.openxmlformats.org/officeDocument/2006/relationships/hyperlink" Target="https://budget.lis.virginia.gov/item/2022/2/HB30/Chapter/1/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